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6B0FA" w14:textId="77777777" w:rsidR="0020715C" w:rsidRPr="00CD0722" w:rsidRDefault="00FA5F67" w:rsidP="00CD0722">
      <w:pPr>
        <w:spacing w:line="360" w:lineRule="auto"/>
        <w:jc w:val="center"/>
        <w:rPr>
          <w:rFonts w:ascii="Arial Nova" w:hAnsi="Arial Nova"/>
        </w:rPr>
      </w:pPr>
      <w:r w:rsidRPr="00CD0722">
        <w:rPr>
          <w:rFonts w:ascii="Arial Nova" w:hAnsi="Arial Nova"/>
          <w:b/>
          <w:sz w:val="48"/>
        </w:rPr>
        <w:t>Dyslexia and Museum Interpretation</w:t>
      </w:r>
    </w:p>
    <w:p w14:paraId="77A036B1" w14:textId="77777777" w:rsidR="0020715C" w:rsidRPr="00CD0722" w:rsidRDefault="00FA5F67" w:rsidP="00CD0722">
      <w:pPr>
        <w:spacing w:line="360" w:lineRule="auto"/>
        <w:jc w:val="center"/>
        <w:rPr>
          <w:rFonts w:ascii="Arial Nova" w:hAnsi="Arial Nova"/>
        </w:rPr>
      </w:pPr>
      <w:r w:rsidRPr="00CD0722">
        <w:rPr>
          <w:rFonts w:ascii="Arial Nova" w:hAnsi="Arial Nova"/>
          <w:b/>
          <w:sz w:val="34"/>
        </w:rPr>
        <w:t>Research Summary and Key Findings</w:t>
      </w:r>
    </w:p>
    <w:p w14:paraId="585F1644" w14:textId="77777777" w:rsidR="0020715C" w:rsidRPr="00CD0722" w:rsidRDefault="00FA5F67" w:rsidP="00CD0722">
      <w:pPr>
        <w:spacing w:line="360" w:lineRule="auto"/>
        <w:jc w:val="center"/>
        <w:rPr>
          <w:rFonts w:ascii="Arial Nova" w:hAnsi="Arial Nova"/>
        </w:rPr>
      </w:pPr>
      <w:r w:rsidRPr="00CD0722">
        <w:rPr>
          <w:rFonts w:ascii="Arial Nova" w:hAnsi="Arial Nova"/>
          <w:i/>
        </w:rPr>
        <w:t>Rachel Frum | MSc Museum Studies, University of Glasgow | 2026</w:t>
      </w:r>
    </w:p>
    <w:p w14:paraId="52E6132E" w14:textId="77777777" w:rsidR="0020715C" w:rsidRPr="00CD0722" w:rsidRDefault="00FA5F67" w:rsidP="00CD0722">
      <w:pPr>
        <w:spacing w:line="360" w:lineRule="auto"/>
        <w:jc w:val="center"/>
        <w:rPr>
          <w:rFonts w:ascii="Arial Nova" w:hAnsi="Arial Nova"/>
        </w:rPr>
      </w:pPr>
      <w:r w:rsidRPr="00CD0722">
        <w:rPr>
          <w:rFonts w:ascii="Arial Nova" w:hAnsi="Arial Nova"/>
          <w:sz w:val="19"/>
        </w:rPr>
        <w:t>Prepared as a concise summary of the dissertation research for museum and heritage practice.</w:t>
      </w:r>
    </w:p>
    <w:p w14:paraId="5F7ABBCD" w14:textId="77777777" w:rsidR="0020715C" w:rsidRPr="00CD0722" w:rsidRDefault="00FA5F67" w:rsidP="00CD0722">
      <w:pPr>
        <w:pStyle w:val="Heading1"/>
        <w:spacing w:line="360" w:lineRule="auto"/>
        <w:rPr>
          <w:rFonts w:ascii="Arial Nova" w:hAnsi="Arial Nova"/>
        </w:rPr>
      </w:pPr>
      <w:r w:rsidRPr="00CD0722">
        <w:rPr>
          <w:rFonts w:ascii="Arial Nova" w:hAnsi="Arial Nova"/>
        </w:rPr>
        <w:t>1. Research overview</w:t>
      </w:r>
    </w:p>
    <w:p w14:paraId="02839D7D" w14:textId="77777777" w:rsidR="0020715C" w:rsidRPr="00CD0722" w:rsidRDefault="00FA5F67" w:rsidP="00CD0722">
      <w:pPr>
        <w:spacing w:line="360" w:lineRule="auto"/>
        <w:rPr>
          <w:rFonts w:ascii="Arial Nova" w:hAnsi="Arial Nova"/>
        </w:rPr>
      </w:pPr>
      <w:r w:rsidRPr="00CD0722">
        <w:rPr>
          <w:rFonts w:ascii="Arial Nova" w:hAnsi="Arial Nova"/>
        </w:rPr>
        <w:t>This research examined how dyslexic visitors experience written museum interpretation, with particular attention to object labels and graphic panels. The study asked whether current museum accessibility approaches give sufficient attention to the linguistic and cognitive demands of reading, rather than focusing primarily on visual presentation.</w:t>
      </w:r>
    </w:p>
    <w:p w14:paraId="0E3D7B1C" w14:textId="77777777" w:rsidR="0020715C" w:rsidRPr="00CD0722" w:rsidRDefault="00FA5F67" w:rsidP="00CD0722">
      <w:pPr>
        <w:spacing w:line="360" w:lineRule="auto"/>
        <w:rPr>
          <w:rFonts w:ascii="Arial Nova" w:hAnsi="Arial Nova"/>
        </w:rPr>
      </w:pPr>
      <w:r w:rsidRPr="00CD0722">
        <w:rPr>
          <w:rFonts w:ascii="Arial Nova" w:hAnsi="Arial Nova"/>
        </w:rPr>
        <w:t>The research brought together three perspectives: what museums say accessibility means through their policies and guidance; what their interpretation texts actually look like; and what dyslexic visitors say it is like to read those texts. This allowed the study to compare intended accessibility, communicated accessibility, and experienced accessibility.</w:t>
      </w:r>
    </w:p>
    <w:p w14:paraId="67A8AB93" w14:textId="77777777" w:rsidR="0020715C" w:rsidRPr="00CD0722" w:rsidRDefault="00FA5F67" w:rsidP="00CD0722">
      <w:pPr>
        <w:pStyle w:val="Heading1"/>
        <w:spacing w:line="360" w:lineRule="auto"/>
        <w:rPr>
          <w:rFonts w:ascii="Arial Nova" w:hAnsi="Arial Nova"/>
        </w:rPr>
      </w:pPr>
      <w:r w:rsidRPr="00CD0722">
        <w:rPr>
          <w:rFonts w:ascii="Arial Nova" w:hAnsi="Arial Nova"/>
        </w:rPr>
        <w:t>2. What the research involved</w:t>
      </w:r>
    </w:p>
    <w:p w14:paraId="4CCB2568" w14:textId="77777777" w:rsidR="0020715C" w:rsidRPr="00CD0722" w:rsidRDefault="00FA5F67" w:rsidP="00CD0722">
      <w:pPr>
        <w:spacing w:line="360" w:lineRule="auto"/>
        <w:rPr>
          <w:rFonts w:ascii="Arial Nova" w:hAnsi="Arial Nova"/>
        </w:rPr>
      </w:pPr>
      <w:r w:rsidRPr="00CD0722">
        <w:rPr>
          <w:rFonts w:ascii="Arial Nova" w:hAnsi="Arial Nova"/>
        </w:rPr>
        <w:t>The study used a qualitative, multi-method design. Six adults who self-identified as dyslexic took part: one focus group with three participants and three individual semi-structured interviews. Participants discussed selected museum interpretation texts and their own experiences of reading, comprehension, concentration, fatigue and engagement.</w:t>
      </w:r>
    </w:p>
    <w:p w14:paraId="2866DC0D" w14:textId="77777777" w:rsidR="0020715C" w:rsidRPr="00CD0722" w:rsidRDefault="00FA5F67" w:rsidP="00CD0722">
      <w:pPr>
        <w:spacing w:line="360" w:lineRule="auto"/>
        <w:rPr>
          <w:rFonts w:ascii="Arial Nova" w:hAnsi="Arial Nova"/>
        </w:rPr>
      </w:pPr>
      <w:r w:rsidRPr="00CD0722">
        <w:rPr>
          <w:rFonts w:ascii="Arial Nova" w:hAnsi="Arial Nova"/>
        </w:rPr>
        <w:t>Alongside the participant research, six museum texts were analysed: two from each of three museum contexts (a national museum, a university museum and a public museum). The textual analysis considered information density, sentence structure, vocabulary, assumed knowledge, interpretive organisation and visual hierarchy.</w:t>
      </w:r>
    </w:p>
    <w:p w14:paraId="0D14AD53" w14:textId="77777777" w:rsidR="0020715C" w:rsidRPr="00CD0722" w:rsidRDefault="00FA5F67" w:rsidP="00CD0722">
      <w:pPr>
        <w:spacing w:line="360" w:lineRule="auto"/>
        <w:rPr>
          <w:rFonts w:ascii="Arial Nova" w:hAnsi="Arial Nova"/>
        </w:rPr>
      </w:pPr>
      <w:r w:rsidRPr="00CD0722">
        <w:rPr>
          <w:rFonts w:ascii="Arial Nova" w:hAnsi="Arial Nova"/>
        </w:rPr>
        <w:t>The study also analysed museum accessibility policies, professional guidance and accessibility information. The three strands were compared through qualitative thematic analysis and methodological triangulation.</w:t>
      </w:r>
    </w:p>
    <w:p w14:paraId="6D4A1161" w14:textId="77777777" w:rsidR="0020715C" w:rsidRPr="00CD0722" w:rsidRDefault="00FA5F67" w:rsidP="00CD0722">
      <w:pPr>
        <w:pStyle w:val="Heading1"/>
        <w:spacing w:line="360" w:lineRule="auto"/>
        <w:rPr>
          <w:rFonts w:ascii="Arial Nova" w:hAnsi="Arial Nova"/>
        </w:rPr>
      </w:pPr>
      <w:r w:rsidRPr="00CD0722">
        <w:rPr>
          <w:rFonts w:ascii="Arial Nova" w:hAnsi="Arial Nova"/>
        </w:rPr>
        <w:t>3. Key findings from participants</w:t>
      </w:r>
    </w:p>
    <w:p w14:paraId="4D89BA56" w14:textId="77777777" w:rsidR="0020715C" w:rsidRPr="00CD0722" w:rsidRDefault="00FA5F67" w:rsidP="00CD0722">
      <w:pPr>
        <w:spacing w:line="360" w:lineRule="auto"/>
        <w:rPr>
          <w:rFonts w:ascii="Arial Nova" w:hAnsi="Arial Nova"/>
        </w:rPr>
      </w:pPr>
      <w:r w:rsidRPr="00CD0722">
        <w:rPr>
          <w:rFonts w:ascii="Arial Nova" w:hAnsi="Arial Nova"/>
        </w:rPr>
        <w:t>The strongest finding was that the main barriers were not simply about whether a visitor could physically read the text. Participants described reading as a process of managing cognitive effort.</w:t>
      </w:r>
    </w:p>
    <w:p w14:paraId="37BE5813" w14:textId="77777777" w:rsidR="0020715C" w:rsidRPr="00CD0722" w:rsidRDefault="00FA5F67" w:rsidP="00CD0722">
      <w:pPr>
        <w:spacing w:line="360" w:lineRule="auto"/>
        <w:ind w:left="259"/>
        <w:rPr>
          <w:rFonts w:ascii="Arial Nova" w:hAnsi="Arial Nova"/>
        </w:rPr>
      </w:pPr>
      <w:r w:rsidRPr="00CD0722">
        <w:rPr>
          <w:rFonts w:ascii="Arial Nova" w:hAnsi="Arial Nova"/>
          <w:b/>
        </w:rPr>
        <w:t xml:space="preserve">Language and sentence structure: </w:t>
      </w:r>
      <w:r w:rsidRPr="00CD0722">
        <w:rPr>
          <w:rFonts w:ascii="Arial Nova" w:hAnsi="Arial Nova"/>
        </w:rPr>
        <w:t>Long or complicated sentences could make participants reread, lose their place or work harder to establish how different pieces of information related to one another.</w:t>
      </w:r>
    </w:p>
    <w:p w14:paraId="1C459AC9" w14:textId="77777777" w:rsidR="0020715C" w:rsidRPr="00CD0722" w:rsidRDefault="00FA5F67" w:rsidP="00CD0722">
      <w:pPr>
        <w:spacing w:line="360" w:lineRule="auto"/>
        <w:ind w:left="259"/>
        <w:rPr>
          <w:rFonts w:ascii="Arial Nova" w:hAnsi="Arial Nova"/>
        </w:rPr>
      </w:pPr>
      <w:r w:rsidRPr="00CD0722">
        <w:rPr>
          <w:rFonts w:ascii="Arial Nova" w:hAnsi="Arial Nova"/>
          <w:b/>
        </w:rPr>
        <w:t xml:space="preserve">Information density: </w:t>
      </w:r>
      <w:r w:rsidRPr="00CD0722">
        <w:rPr>
          <w:rFonts w:ascii="Arial Nova" w:hAnsi="Arial Nova"/>
        </w:rPr>
        <w:t>Dense paragraphs and texts containing several ideas at once increased the amount participants had to hold in mind and process simultaneously.</w:t>
      </w:r>
    </w:p>
    <w:p w14:paraId="354FC83E" w14:textId="77777777" w:rsidR="0020715C" w:rsidRPr="00CD0722" w:rsidRDefault="00FA5F67" w:rsidP="00CD0722">
      <w:pPr>
        <w:spacing w:line="360" w:lineRule="auto"/>
        <w:ind w:left="259"/>
        <w:rPr>
          <w:rFonts w:ascii="Arial Nova" w:hAnsi="Arial Nova"/>
        </w:rPr>
      </w:pPr>
      <w:r w:rsidRPr="00CD0722">
        <w:rPr>
          <w:rFonts w:ascii="Arial Nova" w:hAnsi="Arial Nova"/>
          <w:b/>
        </w:rPr>
        <w:t xml:space="preserve">Unfamiliar terminology and assumed knowledge: </w:t>
      </w:r>
      <w:r w:rsidRPr="00CD0722">
        <w:rPr>
          <w:rFonts w:ascii="Arial Nova" w:hAnsi="Arial Nova"/>
        </w:rPr>
        <w:t>Specialist vocabulary could create difficulties, but participants did not generally argue that museums should remove specialist knowledge. The issue was whether unfamiliar concepts were adequately explained or contextualised.</w:t>
      </w:r>
    </w:p>
    <w:p w14:paraId="50C1C757" w14:textId="77777777" w:rsidR="0020715C" w:rsidRPr="00CD0722" w:rsidRDefault="00FA5F67" w:rsidP="00CD0722">
      <w:pPr>
        <w:spacing w:line="360" w:lineRule="auto"/>
        <w:ind w:left="259"/>
        <w:rPr>
          <w:rFonts w:ascii="Arial Nova" w:hAnsi="Arial Nova"/>
        </w:rPr>
      </w:pPr>
      <w:r w:rsidRPr="00CD0722">
        <w:rPr>
          <w:rFonts w:ascii="Arial Nova" w:hAnsi="Arial Nova"/>
          <w:b/>
        </w:rPr>
        <w:t xml:space="preserve">Rereading and concentration: </w:t>
      </w:r>
      <w:r w:rsidRPr="00CD0722">
        <w:rPr>
          <w:rFonts w:ascii="Arial Nova" w:hAnsi="Arial Nova"/>
        </w:rPr>
        <w:t>Participants described rereading, losing concentration and needing to work harder to retain and connect information. Importantly, difficulty did not always mean eventual incomprehension.</w:t>
      </w:r>
    </w:p>
    <w:p w14:paraId="3509461F" w14:textId="77777777" w:rsidR="0020715C" w:rsidRPr="00CD0722" w:rsidRDefault="00FA5F67" w:rsidP="00CD0722">
      <w:pPr>
        <w:spacing w:line="360" w:lineRule="auto"/>
        <w:ind w:left="259"/>
        <w:rPr>
          <w:rFonts w:ascii="Arial Nova" w:hAnsi="Arial Nova"/>
        </w:rPr>
      </w:pPr>
      <w:r w:rsidRPr="00CD0722">
        <w:rPr>
          <w:rFonts w:ascii="Arial Nova" w:hAnsi="Arial Nova"/>
          <w:b/>
        </w:rPr>
        <w:t xml:space="preserve">Fatigue and emotional response: </w:t>
      </w:r>
      <w:r w:rsidRPr="00CD0722">
        <w:rPr>
          <w:rFonts w:ascii="Arial Nova" w:hAnsi="Arial Nova"/>
        </w:rPr>
        <w:t>Frustration, cognitive fatigue and feeling overwhelmed were part of the reading experience for some participants. There could also be a particularly frustrating sense of knowing that they could understand something, but needing substantially more effort or time to get there.</w:t>
      </w:r>
    </w:p>
    <w:p w14:paraId="3FD3F438" w14:textId="77777777" w:rsidR="0020715C" w:rsidRPr="00CD0722" w:rsidRDefault="00FA5F67" w:rsidP="00CD0722">
      <w:pPr>
        <w:spacing w:line="360" w:lineRule="auto"/>
        <w:ind w:left="259"/>
        <w:rPr>
          <w:rFonts w:ascii="Arial Nova" w:hAnsi="Arial Nova"/>
        </w:rPr>
      </w:pPr>
      <w:r w:rsidRPr="00CD0722">
        <w:rPr>
          <w:rFonts w:ascii="Arial Nova" w:hAnsi="Arial Nova"/>
          <w:b/>
        </w:rPr>
        <w:t xml:space="preserve">Time pressure: </w:t>
      </w:r>
      <w:r w:rsidRPr="00CD0722">
        <w:rPr>
          <w:rFonts w:ascii="Arial Nova" w:hAnsi="Arial Nova"/>
        </w:rPr>
        <w:t>A particularly important and unexpected finding was that museum reading happens under social and environmental time pressure. Participants were aware of how long they were spending on a label, wanted to continue through the exhibition, and were conscious of other visitors. A text could therefore be technically understandable but practically inaccessible if it demanded too much time and effort.</w:t>
      </w:r>
    </w:p>
    <w:p w14:paraId="414CE3D5" w14:textId="77777777" w:rsidR="0020715C" w:rsidRPr="00CD0722" w:rsidRDefault="00FA5F67" w:rsidP="00CD0722">
      <w:pPr>
        <w:spacing w:line="360" w:lineRule="auto"/>
        <w:ind w:left="259"/>
        <w:rPr>
          <w:rFonts w:ascii="Arial Nova" w:hAnsi="Arial Nova"/>
        </w:rPr>
      </w:pPr>
      <w:r w:rsidRPr="00CD0722">
        <w:rPr>
          <w:rFonts w:ascii="Arial Nova" w:hAnsi="Arial Nova"/>
          <w:b/>
        </w:rPr>
        <w:t xml:space="preserve">Different strategies and experiences: </w:t>
      </w:r>
      <w:r w:rsidRPr="00CD0722">
        <w:rPr>
          <w:rFonts w:ascii="Arial Nova" w:hAnsi="Arial Nova"/>
        </w:rPr>
        <w:t>Participants used different strategies, including skimming, selective reading, rereading, prediction and alternative forms of interpretation. There was substantial individual variation, so the research does not propose a single universal dyslexic reading experience.</w:t>
      </w:r>
    </w:p>
    <w:p w14:paraId="3DCD33E7" w14:textId="77777777" w:rsidR="0020715C" w:rsidRPr="00CD0722" w:rsidRDefault="00FA5F67" w:rsidP="00CD0722">
      <w:pPr>
        <w:pStyle w:val="Heading1"/>
        <w:spacing w:line="360" w:lineRule="auto"/>
        <w:rPr>
          <w:rFonts w:ascii="Arial Nova" w:hAnsi="Arial Nova"/>
        </w:rPr>
      </w:pPr>
      <w:r w:rsidRPr="00CD0722">
        <w:rPr>
          <w:rFonts w:ascii="Arial Nova" w:hAnsi="Arial Nova"/>
        </w:rPr>
        <w:t>4. A key distinction: visual accessibility versus reading accessibility</w:t>
      </w:r>
    </w:p>
    <w:p w14:paraId="044CF060" w14:textId="77777777" w:rsidR="0020715C" w:rsidRPr="00CD0722" w:rsidRDefault="00FA5F67" w:rsidP="00CD0722">
      <w:pPr>
        <w:spacing w:line="360" w:lineRule="auto"/>
        <w:rPr>
          <w:rFonts w:ascii="Arial Nova" w:hAnsi="Arial Nova"/>
        </w:rPr>
      </w:pPr>
      <w:r w:rsidRPr="00CD0722">
        <w:rPr>
          <w:rFonts w:ascii="Arial Nova" w:hAnsi="Arial Nova"/>
        </w:rPr>
        <w:t>One of the clearest findings was that visual accessibility did not necessarily translate into accessible reading. Participants could find a layout, font or other visual feature helpful while still experiencing difficulty because of the language, structure or amount of information presented.</w:t>
      </w:r>
    </w:p>
    <w:p w14:paraId="16AE42FB" w14:textId="77777777" w:rsidR="0020715C" w:rsidRPr="00CD0722" w:rsidRDefault="00FA5F67" w:rsidP="00CD0722">
      <w:pPr>
        <w:spacing w:line="360" w:lineRule="auto"/>
        <w:rPr>
          <w:rFonts w:ascii="Arial Nova" w:hAnsi="Arial Nova"/>
        </w:rPr>
      </w:pPr>
      <w:r w:rsidRPr="00CD0722">
        <w:rPr>
          <w:rFonts w:ascii="Arial Nova" w:hAnsi="Arial Nova"/>
        </w:rPr>
        <w:t>This does not mean that visual accessibility is unimportant. Rather, the findings suggest that typography and layout are only part of the reading experience. A visually accessible label can still create unnecessary cognitive demands, while intellectually complex content does not necessarily have to be inaccessible if that complexity is communicated clearly and structured in ways that support comprehension.</w:t>
      </w:r>
    </w:p>
    <w:p w14:paraId="364C6230" w14:textId="77777777" w:rsidR="0020715C" w:rsidRPr="00CD0722" w:rsidRDefault="00FA5F67" w:rsidP="00CD0722">
      <w:pPr>
        <w:pStyle w:val="Heading1"/>
        <w:spacing w:line="360" w:lineRule="auto"/>
        <w:rPr>
          <w:rFonts w:ascii="Arial Nova" w:hAnsi="Arial Nova"/>
        </w:rPr>
      </w:pPr>
      <w:r w:rsidRPr="00CD0722">
        <w:rPr>
          <w:rFonts w:ascii="Arial Nova" w:hAnsi="Arial Nova"/>
        </w:rPr>
        <w:t>5. What the textual analysis found</w:t>
      </w:r>
    </w:p>
    <w:p w14:paraId="2B5F9E76" w14:textId="77777777" w:rsidR="0020715C" w:rsidRPr="00CD0722" w:rsidRDefault="00FA5F67" w:rsidP="00CD0722">
      <w:pPr>
        <w:spacing w:line="360" w:lineRule="auto"/>
        <w:rPr>
          <w:rFonts w:ascii="Arial Nova" w:hAnsi="Arial Nova"/>
        </w:rPr>
      </w:pPr>
      <w:r w:rsidRPr="00CD0722">
        <w:rPr>
          <w:rFonts w:ascii="Arial Nova" w:hAnsi="Arial Nova"/>
        </w:rPr>
        <w:t>The analysis of six labels and graphic panels identified a consistent pattern of cognitive and linguistic demands. Across the dataset, the main issues were:</w:t>
      </w:r>
    </w:p>
    <w:p w14:paraId="0E4ED23D" w14:textId="77777777" w:rsidR="0020715C" w:rsidRPr="00CD0722" w:rsidRDefault="00FA5F67" w:rsidP="00CD0722">
      <w:pPr>
        <w:pStyle w:val="ListBullet"/>
        <w:spacing w:line="360" w:lineRule="auto"/>
        <w:rPr>
          <w:rFonts w:ascii="Arial Nova" w:hAnsi="Arial Nova"/>
        </w:rPr>
      </w:pPr>
      <w:r w:rsidRPr="00CD0722">
        <w:rPr>
          <w:rFonts w:ascii="Arial Nova" w:hAnsi="Arial Nova"/>
        </w:rPr>
        <w:t>high information density and several interpretive functions being combined in relatively small amounts of text;</w:t>
      </w:r>
    </w:p>
    <w:p w14:paraId="00E41893" w14:textId="77777777" w:rsidR="0020715C" w:rsidRPr="00CD0722" w:rsidRDefault="00FA5F67" w:rsidP="00CD0722">
      <w:pPr>
        <w:pStyle w:val="ListBullet"/>
        <w:spacing w:line="360" w:lineRule="auto"/>
        <w:rPr>
          <w:rFonts w:ascii="Arial Nova" w:hAnsi="Arial Nova"/>
        </w:rPr>
      </w:pPr>
      <w:r w:rsidRPr="00CD0722">
        <w:rPr>
          <w:rFonts w:ascii="Arial Nova" w:hAnsi="Arial Nova"/>
        </w:rPr>
        <w:t>long or multi-clause sentences that required readers to track several relationships at once;</w:t>
      </w:r>
    </w:p>
    <w:p w14:paraId="498F6B89" w14:textId="77777777" w:rsidR="0020715C" w:rsidRPr="00CD0722" w:rsidRDefault="00FA5F67" w:rsidP="00CD0722">
      <w:pPr>
        <w:pStyle w:val="ListBullet"/>
        <w:spacing w:line="360" w:lineRule="auto"/>
        <w:rPr>
          <w:rFonts w:ascii="Arial Nova" w:hAnsi="Arial Nova"/>
        </w:rPr>
      </w:pPr>
      <w:r w:rsidRPr="00CD0722">
        <w:rPr>
          <w:rFonts w:ascii="Arial Nova" w:hAnsi="Arial Nova"/>
        </w:rPr>
        <w:t>specialist vocabulary, particularly in archaeological, scientific and art-historical interpretation;</w:t>
      </w:r>
    </w:p>
    <w:p w14:paraId="1E1D4016" w14:textId="77777777" w:rsidR="0020715C" w:rsidRPr="00CD0722" w:rsidRDefault="00FA5F67" w:rsidP="00CD0722">
      <w:pPr>
        <w:pStyle w:val="ListBullet"/>
        <w:spacing w:line="360" w:lineRule="auto"/>
        <w:rPr>
          <w:rFonts w:ascii="Arial Nova" w:hAnsi="Arial Nova"/>
        </w:rPr>
      </w:pPr>
      <w:r w:rsidRPr="00CD0722">
        <w:rPr>
          <w:rFonts w:ascii="Arial Nova" w:hAnsi="Arial Nova"/>
        </w:rPr>
        <w:t>assumed prior knowledge, where important context was not always explicitly provided; and</w:t>
      </w:r>
    </w:p>
    <w:p w14:paraId="63305EB6" w14:textId="77777777" w:rsidR="0020715C" w:rsidRPr="00CD0722" w:rsidRDefault="00FA5F67" w:rsidP="00CD0722">
      <w:pPr>
        <w:pStyle w:val="ListBullet"/>
        <w:spacing w:line="360" w:lineRule="auto"/>
        <w:rPr>
          <w:rFonts w:ascii="Arial Nova" w:hAnsi="Arial Nova"/>
        </w:rPr>
      </w:pPr>
      <w:r w:rsidRPr="00CD0722">
        <w:rPr>
          <w:rFonts w:ascii="Arial Nova" w:hAnsi="Arial Nova"/>
        </w:rPr>
        <w:t>limited segmentation of information, meaning that description, explanation, context and interpretation were sometimes compressed into continuous prose.</w:t>
      </w:r>
    </w:p>
    <w:p w14:paraId="51AE5A56" w14:textId="77777777" w:rsidR="0020715C" w:rsidRPr="00CD0722" w:rsidRDefault="00FA5F67" w:rsidP="00CD0722">
      <w:pPr>
        <w:spacing w:line="360" w:lineRule="auto"/>
        <w:rPr>
          <w:rFonts w:ascii="Arial Nova" w:hAnsi="Arial Nova"/>
        </w:rPr>
      </w:pPr>
      <w:r w:rsidRPr="00CD0722">
        <w:rPr>
          <w:rFonts w:ascii="Arial Nova" w:hAnsi="Arial Nova"/>
        </w:rPr>
        <w:t>The important point was not simply that some texts were long. Cognitive demand was often created by how much the reader had to process at once and how many connections they had to make for themselves.</w:t>
      </w:r>
    </w:p>
    <w:p w14:paraId="28CC7680" w14:textId="77777777" w:rsidR="0020715C" w:rsidRPr="00CD0722" w:rsidRDefault="00FA5F67" w:rsidP="00CD0722">
      <w:pPr>
        <w:pStyle w:val="Heading1"/>
        <w:spacing w:line="360" w:lineRule="auto"/>
        <w:rPr>
          <w:rFonts w:ascii="Arial Nova" w:hAnsi="Arial Nova"/>
        </w:rPr>
      </w:pPr>
      <w:r w:rsidRPr="00CD0722">
        <w:rPr>
          <w:rFonts w:ascii="Arial Nova" w:hAnsi="Arial Nova"/>
        </w:rPr>
        <w:t>6. What the policy and guidance analysis found</w:t>
      </w:r>
    </w:p>
    <w:p w14:paraId="46EADD7F" w14:textId="77777777" w:rsidR="0020715C" w:rsidRPr="00CD0722" w:rsidRDefault="00FA5F67" w:rsidP="00CD0722">
      <w:pPr>
        <w:spacing w:line="360" w:lineRule="auto"/>
        <w:rPr>
          <w:rFonts w:ascii="Arial Nova" w:hAnsi="Arial Nova"/>
        </w:rPr>
      </w:pPr>
      <w:r w:rsidRPr="00CD0722">
        <w:rPr>
          <w:rFonts w:ascii="Arial Nova" w:hAnsi="Arial Nova"/>
        </w:rPr>
        <w:t>The policy analysis showed that museums and the wider sector have made substantial progress towards inclusion and accessibility. However, accessibility guidance was generally much more developed around physical, sensory and visual access than around the linguistic and cognitive experience of reading.</w:t>
      </w:r>
    </w:p>
    <w:p w14:paraId="3B40388A" w14:textId="77777777" w:rsidR="0020715C" w:rsidRPr="00CD0722" w:rsidRDefault="00FA5F67" w:rsidP="00CD0722">
      <w:pPr>
        <w:spacing w:line="360" w:lineRule="auto"/>
        <w:rPr>
          <w:rFonts w:ascii="Arial Nova" w:hAnsi="Arial Nova"/>
        </w:rPr>
      </w:pPr>
      <w:r w:rsidRPr="00CD0722">
        <w:rPr>
          <w:rFonts w:ascii="Arial Nova" w:hAnsi="Arial Nova"/>
        </w:rPr>
        <w:t>Guidance commonly gives practical attention to features such as font size, spacing, colour contrast, layout, physical access, sensory provision and visitor facilities. By comparison, there is less consistent guidance on sentence organisation, information density, cognitive effort, contextual explanation and the experience of processing museum interpretation.</w:t>
      </w:r>
    </w:p>
    <w:p w14:paraId="29C5D316" w14:textId="77777777" w:rsidR="0020715C" w:rsidRPr="00CD0722" w:rsidRDefault="00FA5F67" w:rsidP="00CD0722">
      <w:pPr>
        <w:spacing w:line="360" w:lineRule="auto"/>
        <w:rPr>
          <w:rFonts w:ascii="Arial Nova" w:hAnsi="Arial Nova"/>
        </w:rPr>
      </w:pPr>
      <w:r w:rsidRPr="00CD0722">
        <w:rPr>
          <w:rFonts w:ascii="Arial Nova" w:hAnsi="Arial Nova"/>
        </w:rPr>
        <w:t>This should not be understood as a lack of commitment to accessibility. Rather, it suggests that some forms of access have become more visible and operationalised within museum practice than others. The research also recognised the work of advocacy organisations and specialist accessibility resources in pushing museums towards broader understandings of access.</w:t>
      </w:r>
    </w:p>
    <w:p w14:paraId="253FBB60" w14:textId="77777777" w:rsidR="0020715C" w:rsidRPr="00CD0722" w:rsidRDefault="00FA5F67" w:rsidP="00CD0722">
      <w:pPr>
        <w:pStyle w:val="Heading1"/>
        <w:spacing w:line="360" w:lineRule="auto"/>
        <w:rPr>
          <w:rFonts w:ascii="Arial Nova" w:hAnsi="Arial Nova"/>
        </w:rPr>
      </w:pPr>
      <w:r w:rsidRPr="00CD0722">
        <w:rPr>
          <w:rFonts w:ascii="Arial Nova" w:hAnsi="Arial Nova"/>
        </w:rPr>
        <w:t>7. How the three strands connect</w:t>
      </w:r>
    </w:p>
    <w:p w14:paraId="19041730" w14:textId="77777777" w:rsidR="0020715C" w:rsidRPr="00CD0722" w:rsidRDefault="00FA5F67" w:rsidP="00CD0722">
      <w:pPr>
        <w:spacing w:line="360" w:lineRule="auto"/>
        <w:rPr>
          <w:rFonts w:ascii="Arial Nova" w:hAnsi="Arial Nova"/>
        </w:rPr>
      </w:pPr>
      <w:r w:rsidRPr="00CD0722">
        <w:rPr>
          <w:rFonts w:ascii="Arial Nova" w:hAnsi="Arial Nova"/>
        </w:rPr>
        <w:t>The value of the research lies in bringing these findings together. The policy analysis shows what accessibility is currently prioritised institutionally. The textual analysis shows how those priorities appear in actual interpretation. The participant research shows what those textual features can mean for a dyslexic reader.</w:t>
      </w:r>
    </w:p>
    <w:p w14:paraId="4CFA4096" w14:textId="77777777" w:rsidR="0020715C" w:rsidRPr="00CD0722" w:rsidRDefault="00FA5F67" w:rsidP="00CD0722">
      <w:pPr>
        <w:spacing w:line="360" w:lineRule="auto"/>
        <w:rPr>
          <w:rFonts w:ascii="Arial Nova" w:hAnsi="Arial Nova"/>
        </w:rPr>
      </w:pPr>
      <w:r w:rsidRPr="00CD0722">
        <w:rPr>
          <w:rFonts w:ascii="Arial Nova" w:hAnsi="Arial Nova"/>
        </w:rPr>
        <w:t>Taken together, the findings suggest that museums can make the appearance of interpretation accessible without necessarily making the process of understanding it accessible. The research therefore argues for a broader understanding of cognitive accessibility that considers visual presentation, linguistic organisation, information structure, environmental context and visitor experience together.</w:t>
      </w:r>
    </w:p>
    <w:p w14:paraId="378CA484" w14:textId="77777777" w:rsidR="0020715C" w:rsidRPr="00CD0722" w:rsidRDefault="00FA5F67" w:rsidP="00CD0722">
      <w:pPr>
        <w:pStyle w:val="Heading1"/>
        <w:spacing w:line="360" w:lineRule="auto"/>
        <w:rPr>
          <w:rFonts w:ascii="Arial Nova" w:hAnsi="Arial Nova"/>
        </w:rPr>
      </w:pPr>
      <w:r w:rsidRPr="00CD0722">
        <w:rPr>
          <w:rFonts w:ascii="Arial Nova" w:hAnsi="Arial Nova"/>
        </w:rPr>
        <w:t>8. Implications for museum interpretation</w:t>
      </w:r>
    </w:p>
    <w:p w14:paraId="2990369E" w14:textId="77777777" w:rsidR="0020715C" w:rsidRPr="00CD0722" w:rsidRDefault="00FA5F67" w:rsidP="00CD0722">
      <w:pPr>
        <w:spacing w:line="360" w:lineRule="auto"/>
        <w:rPr>
          <w:rFonts w:ascii="Arial Nova" w:hAnsi="Arial Nova"/>
        </w:rPr>
      </w:pPr>
      <w:r w:rsidRPr="00CD0722">
        <w:rPr>
          <w:rFonts w:ascii="Arial Nova" w:hAnsi="Arial Nova"/>
        </w:rPr>
        <w:t>The findings do not suggest that museum interpretation should simply be made shorter, simpler or less intellectually ambitious. Participants did not generally ask museums to remove complex ideas or specialist knowledge. Instead, the research points towards reducing unnecessary cognitive effort while retaining interpretive depth.</w:t>
      </w:r>
    </w:p>
    <w:p w14:paraId="1C8C1CFF" w14:textId="77777777" w:rsidR="0020715C" w:rsidRPr="00CD0722" w:rsidRDefault="00FA5F67" w:rsidP="00CD0722">
      <w:pPr>
        <w:pStyle w:val="ListBullet"/>
        <w:spacing w:line="360" w:lineRule="auto"/>
        <w:rPr>
          <w:rFonts w:ascii="Arial Nova" w:hAnsi="Arial Nova"/>
        </w:rPr>
      </w:pPr>
      <w:r w:rsidRPr="00CD0722">
        <w:rPr>
          <w:rFonts w:ascii="Arial Nova" w:hAnsi="Arial Nova"/>
        </w:rPr>
        <w:t>Review sentence structure as well as font and layout. Consider whether several ideas are being compressed into one sentence.</w:t>
      </w:r>
    </w:p>
    <w:p w14:paraId="4641350F" w14:textId="77777777" w:rsidR="0020715C" w:rsidRPr="00CD0722" w:rsidRDefault="00FA5F67" w:rsidP="00CD0722">
      <w:pPr>
        <w:pStyle w:val="ListBullet"/>
        <w:spacing w:line="360" w:lineRule="auto"/>
        <w:rPr>
          <w:rFonts w:ascii="Arial Nova" w:hAnsi="Arial Nova"/>
        </w:rPr>
      </w:pPr>
      <w:r w:rsidRPr="00CD0722">
        <w:rPr>
          <w:rFonts w:ascii="Arial Nova" w:hAnsi="Arial Nova"/>
        </w:rPr>
        <w:t>Reduce unnecessary information density and separate distinct ideas where possible.</w:t>
      </w:r>
    </w:p>
    <w:p w14:paraId="4E9D52CB" w14:textId="77777777" w:rsidR="0020715C" w:rsidRPr="00CD0722" w:rsidRDefault="00FA5F67" w:rsidP="00CD0722">
      <w:pPr>
        <w:pStyle w:val="ListBullet"/>
        <w:spacing w:line="360" w:lineRule="auto"/>
        <w:rPr>
          <w:rFonts w:ascii="Arial Nova" w:hAnsi="Arial Nova"/>
        </w:rPr>
      </w:pPr>
      <w:r w:rsidRPr="00CD0722">
        <w:rPr>
          <w:rFonts w:ascii="Arial Nova" w:hAnsi="Arial Nova"/>
        </w:rPr>
        <w:t>Explain specialist terminology and provide enough context for visitors who do not already have disciplinary knowledge.</w:t>
      </w:r>
    </w:p>
    <w:p w14:paraId="047E277E" w14:textId="77777777" w:rsidR="0020715C" w:rsidRPr="00CD0722" w:rsidRDefault="00FA5F67" w:rsidP="00CD0722">
      <w:pPr>
        <w:pStyle w:val="ListBullet"/>
        <w:spacing w:line="360" w:lineRule="auto"/>
        <w:rPr>
          <w:rFonts w:ascii="Arial Nova" w:hAnsi="Arial Nova"/>
        </w:rPr>
      </w:pPr>
      <w:r w:rsidRPr="00CD0722">
        <w:rPr>
          <w:rFonts w:ascii="Arial Nova" w:hAnsi="Arial Nova"/>
        </w:rPr>
        <w:t>Use headings, short sections, bullets or other forms of information chunking where appropriate to make relationships between ideas clearer.</w:t>
      </w:r>
    </w:p>
    <w:p w14:paraId="76BDB5E8" w14:textId="77777777" w:rsidR="0020715C" w:rsidRPr="00CD0722" w:rsidRDefault="00FA5F67" w:rsidP="00CD0722">
      <w:pPr>
        <w:pStyle w:val="ListBullet"/>
        <w:spacing w:line="360" w:lineRule="auto"/>
        <w:rPr>
          <w:rFonts w:ascii="Arial Nova" w:hAnsi="Arial Nova"/>
        </w:rPr>
      </w:pPr>
      <w:r w:rsidRPr="00CD0722">
        <w:rPr>
          <w:rFonts w:ascii="Arial Nova" w:hAnsi="Arial Nova"/>
        </w:rPr>
        <w:t>Consider the amount of processing required, not only the visual appearance of a label.</w:t>
      </w:r>
    </w:p>
    <w:p w14:paraId="66F87AC4" w14:textId="77777777" w:rsidR="0020715C" w:rsidRPr="00CD0722" w:rsidRDefault="00FA5F67" w:rsidP="00CD0722">
      <w:pPr>
        <w:pStyle w:val="ListBullet"/>
        <w:spacing w:line="360" w:lineRule="auto"/>
        <w:rPr>
          <w:rFonts w:ascii="Arial Nova" w:hAnsi="Arial Nova"/>
        </w:rPr>
      </w:pPr>
      <w:r w:rsidRPr="00CD0722">
        <w:rPr>
          <w:rFonts w:ascii="Arial Nova" w:hAnsi="Arial Nova"/>
        </w:rPr>
        <w:t>Avoid assuming that a visitor will compensate for difficult interpretation through rereading, slowing down or using alternative strategies.</w:t>
      </w:r>
    </w:p>
    <w:p w14:paraId="658AAA36" w14:textId="77777777" w:rsidR="0020715C" w:rsidRPr="00CD0722" w:rsidRDefault="00FA5F67" w:rsidP="00CD0722">
      <w:pPr>
        <w:pStyle w:val="ListBullet"/>
        <w:spacing w:line="360" w:lineRule="auto"/>
        <w:rPr>
          <w:rFonts w:ascii="Arial Nova" w:hAnsi="Arial Nova"/>
        </w:rPr>
      </w:pPr>
      <w:r w:rsidRPr="00CD0722">
        <w:rPr>
          <w:rFonts w:ascii="Arial Nova" w:hAnsi="Arial Nova"/>
        </w:rPr>
        <w:t>Include dyslexic and other neurodivergent visitors in the development and testing of interpretation, rather than relying solely on general accessibility checklists.</w:t>
      </w:r>
    </w:p>
    <w:p w14:paraId="13B0C0DF" w14:textId="77777777" w:rsidR="0020715C" w:rsidRPr="00CD0722" w:rsidRDefault="00FA5F67" w:rsidP="00CD0722">
      <w:pPr>
        <w:pStyle w:val="ListBullet"/>
        <w:spacing w:line="360" w:lineRule="auto"/>
        <w:rPr>
          <w:rFonts w:ascii="Arial Nova" w:hAnsi="Arial Nova"/>
        </w:rPr>
      </w:pPr>
      <w:r w:rsidRPr="00CD0722">
        <w:rPr>
          <w:rFonts w:ascii="Arial Nova" w:hAnsi="Arial Nova"/>
        </w:rPr>
        <w:t>Consider the real museum context: visitors may be standing, moving through busy spaces, sharing the gallery with others and deciding how long they want to spend reading.</w:t>
      </w:r>
    </w:p>
    <w:p w14:paraId="7EE3EA06" w14:textId="77777777" w:rsidR="0020715C" w:rsidRPr="00CD0722" w:rsidRDefault="00FA5F67" w:rsidP="00CD0722">
      <w:pPr>
        <w:pStyle w:val="Heading1"/>
        <w:spacing w:line="360" w:lineRule="auto"/>
        <w:rPr>
          <w:rFonts w:ascii="Arial Nova" w:hAnsi="Arial Nova"/>
        </w:rPr>
      </w:pPr>
      <w:r w:rsidRPr="00CD0722">
        <w:rPr>
          <w:rFonts w:ascii="Arial Nova" w:hAnsi="Arial Nova"/>
        </w:rPr>
        <w:t>9. Main conclusion</w:t>
      </w:r>
    </w:p>
    <w:p w14:paraId="0895DF2B" w14:textId="77777777" w:rsidR="0020715C" w:rsidRPr="00CD0722" w:rsidRDefault="00FA5F67" w:rsidP="00CD0722">
      <w:pPr>
        <w:spacing w:line="360" w:lineRule="auto"/>
        <w:rPr>
          <w:rFonts w:ascii="Arial Nova" w:hAnsi="Arial Nova"/>
        </w:rPr>
      </w:pPr>
      <w:r w:rsidRPr="00CD0722">
        <w:rPr>
          <w:rFonts w:ascii="Arial Nova" w:hAnsi="Arial Nova"/>
        </w:rPr>
        <w:t>The dissertation's central argument is that museum accessibility should not be judged only by whether text can technically be read or whether it follows visual accessibility guidance. Participants often could understand museum interpretation, but the question was how much cognitive effort, time and concentration that understanding required.</w:t>
      </w:r>
    </w:p>
    <w:p w14:paraId="789F392D" w14:textId="77777777" w:rsidR="0020715C" w:rsidRPr="00CD0722" w:rsidRDefault="00FA5F67" w:rsidP="00CD0722">
      <w:pPr>
        <w:spacing w:line="360" w:lineRule="auto"/>
        <w:rPr>
          <w:rFonts w:ascii="Arial Nova" w:hAnsi="Arial Nova"/>
        </w:rPr>
      </w:pPr>
      <w:r w:rsidRPr="00CD0722">
        <w:rPr>
          <w:rFonts w:ascii="Arial Nova" w:hAnsi="Arial Nova"/>
        </w:rPr>
        <w:t>The research therefore proposes thinking about accessibility in terms of cognitive investment: not only 'Can a visitor read this?' but 'What does this text ask the visitor to do in order to understand it, and is that effort necessary?' This places the lived experience of reading alongside existing visual and physical approaches to accessibility.</w:t>
      </w:r>
    </w:p>
    <w:p w14:paraId="0F617B45" w14:textId="77777777" w:rsidR="0020715C" w:rsidRPr="00CD0722" w:rsidRDefault="00FA5F67" w:rsidP="00CD0722">
      <w:pPr>
        <w:pStyle w:val="Heading1"/>
        <w:spacing w:line="360" w:lineRule="auto"/>
        <w:rPr>
          <w:rFonts w:ascii="Arial Nova" w:hAnsi="Arial Nova"/>
        </w:rPr>
      </w:pPr>
      <w:r w:rsidRPr="00CD0722">
        <w:rPr>
          <w:rFonts w:ascii="Arial Nova" w:hAnsi="Arial Nova"/>
        </w:rPr>
        <w:t>10. Scope and limitations</w:t>
      </w:r>
    </w:p>
    <w:p w14:paraId="29C2CC93" w14:textId="77777777" w:rsidR="0020715C" w:rsidRPr="00CD0722" w:rsidRDefault="00FA5F67" w:rsidP="00CD0722">
      <w:pPr>
        <w:spacing w:line="360" w:lineRule="auto"/>
        <w:rPr>
          <w:rFonts w:ascii="Arial Nova" w:hAnsi="Arial Nova"/>
        </w:rPr>
      </w:pPr>
      <w:r w:rsidRPr="00CD0722">
        <w:rPr>
          <w:rFonts w:ascii="Arial Nova" w:hAnsi="Arial Nova"/>
        </w:rPr>
        <w:t>This was a small qualitative study involving six participants and three museum contexts, so its findings are not intended to represent all dyslexic visitors. The participant research also used photographs of museum interpretation rather than observing participants reading in live gallery conditions. This means that environmental factors such as crowding, sound, movement and lighting were discussed through participant accounts rather than directly observed. The findings should therefore be understood as an exploratory account of dyslexic reading experiences rather than a universal model.</w:t>
      </w:r>
    </w:p>
    <w:p w14:paraId="312EFA52" w14:textId="77777777" w:rsidR="0020715C" w:rsidRPr="00CD0722" w:rsidRDefault="00FA5F67" w:rsidP="00CD0722">
      <w:pPr>
        <w:pStyle w:val="Heading1"/>
        <w:spacing w:line="360" w:lineRule="auto"/>
        <w:rPr>
          <w:rFonts w:ascii="Arial Nova" w:hAnsi="Arial Nova"/>
        </w:rPr>
      </w:pPr>
      <w:r w:rsidRPr="00CD0722">
        <w:rPr>
          <w:rFonts w:ascii="Arial Nova" w:hAnsi="Arial Nova"/>
        </w:rPr>
        <w:t>About the research</w:t>
      </w:r>
    </w:p>
    <w:p w14:paraId="7245EA3C" w14:textId="77777777" w:rsidR="0020715C" w:rsidRPr="00CD0722" w:rsidRDefault="00FA5F67" w:rsidP="00CD0722">
      <w:pPr>
        <w:spacing w:line="360" w:lineRule="auto"/>
        <w:rPr>
          <w:rFonts w:ascii="Arial Nova" w:hAnsi="Arial Nova"/>
        </w:rPr>
      </w:pPr>
      <w:r w:rsidRPr="00CD0722">
        <w:rPr>
          <w:rFonts w:ascii="Arial Nova" w:hAnsi="Arial Nova"/>
        </w:rPr>
        <w:t>Rachel Frum completed this research as part of the MSc Museum Studies at the University of Glasgow (2025–2026). The full dissertation examined dyslexia, museum interpretation and cognitive accessibility through policy analysis, textual analysis and qualitative participant research.</w:t>
      </w:r>
    </w:p>
    <w:p w14:paraId="7F3806D0" w14:textId="77777777" w:rsidR="0020715C" w:rsidRPr="00CD0722" w:rsidRDefault="00FA5F67" w:rsidP="00CD0722">
      <w:pPr>
        <w:spacing w:line="360" w:lineRule="auto"/>
        <w:rPr>
          <w:rFonts w:ascii="Arial Nova" w:hAnsi="Arial Nova"/>
        </w:rPr>
      </w:pPr>
      <w:r w:rsidRPr="00CD0722">
        <w:rPr>
          <w:rFonts w:ascii="Arial Nova" w:hAnsi="Arial Nova"/>
        </w:rPr>
        <w:t>This summary has been prepared for colleagues interested in improving museum interpretation and accessibility. It is intended to make the findings easier to use in practice without reproducing the full academic dissertation.</w:t>
      </w:r>
    </w:p>
    <w:sectPr w:rsidR="0020715C" w:rsidRPr="00CD0722" w:rsidSect="00034616">
      <w:footerReference w:type="default" r:id="rId7"/>
      <w:pgSz w:w="12240" w:h="15840"/>
      <w:pgMar w:top="1080" w:right="1224" w:bottom="1080" w:left="122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9FF18" w14:textId="77777777" w:rsidR="007F6D17" w:rsidRDefault="007F6D17">
      <w:pPr>
        <w:spacing w:after="0" w:line="240" w:lineRule="auto"/>
      </w:pPr>
      <w:r>
        <w:separator/>
      </w:r>
    </w:p>
  </w:endnote>
  <w:endnote w:type="continuationSeparator" w:id="0">
    <w:p w14:paraId="0B02F245" w14:textId="77777777" w:rsidR="007F6D17" w:rsidRDefault="007F6D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ptos">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Arial Nova">
    <w:altName w:val="Arial"/>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8D432" w14:textId="77777777" w:rsidR="0020715C" w:rsidRDefault="00FA5F67">
    <w:pPr>
      <w:pStyle w:val="Footer"/>
      <w:jc w:val="center"/>
    </w:pPr>
    <w:r>
      <w:rPr>
        <w:sz w:val="16"/>
      </w:rPr>
      <w:t>Rachel Frum | Dyslexia and Museum Interpretation Research Summary |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66776" w14:textId="77777777" w:rsidR="007F6D17" w:rsidRDefault="007F6D17">
      <w:pPr>
        <w:spacing w:after="0" w:line="240" w:lineRule="auto"/>
      </w:pPr>
      <w:r>
        <w:separator/>
      </w:r>
    </w:p>
  </w:footnote>
  <w:footnote w:type="continuationSeparator" w:id="0">
    <w:p w14:paraId="6B25A863" w14:textId="77777777" w:rsidR="007F6D17" w:rsidRDefault="007F6D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CD000104"/>
    <w:lvl w:ilvl="0">
      <w:start w:val="1"/>
      <w:numFmt w:val="bullet"/>
      <w:pStyle w:val="ListBullet"/>
      <w:lvlText w:val=""/>
      <w:lvlJc w:val="left"/>
      <w:pPr>
        <w:tabs>
          <w:tab w:val="num" w:pos="360"/>
        </w:tabs>
        <w:ind w:left="360" w:hanging="360"/>
      </w:pPr>
      <w:rPr>
        <w:rFonts w:ascii="Symbol" w:hAnsi="Symbol" w:hint="default"/>
      </w:rPr>
    </w:lvl>
  </w:abstractNum>
  <w:num w:numId="1" w16cid:durableId="1065688917">
    <w:abstractNumId w:val="1"/>
  </w:num>
  <w:num w:numId="2" w16cid:durableId="1289125582">
    <w:abstractNumId w:val="8"/>
  </w:num>
  <w:num w:numId="3" w16cid:durableId="1491797512">
    <w:abstractNumId w:val="2"/>
  </w:num>
  <w:num w:numId="4" w16cid:durableId="1682124373">
    <w:abstractNumId w:val="6"/>
  </w:num>
  <w:num w:numId="5" w16cid:durableId="1746951381">
    <w:abstractNumId w:val="4"/>
  </w:num>
  <w:num w:numId="6" w16cid:durableId="1851528615">
    <w:abstractNumId w:val="5"/>
  </w:num>
  <w:num w:numId="7" w16cid:durableId="369569345">
    <w:abstractNumId w:val="3"/>
  </w:num>
  <w:num w:numId="8" w16cid:durableId="678890421">
    <w:abstractNumId w:val="7"/>
  </w:num>
  <w:num w:numId="9" w16cid:durableId="829179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B026C"/>
    <w:rsid w:val="0015074B"/>
    <w:rsid w:val="0020715C"/>
    <w:rsid w:val="00262561"/>
    <w:rsid w:val="00266C93"/>
    <w:rsid w:val="0029639D"/>
    <w:rsid w:val="00326F90"/>
    <w:rsid w:val="003C44EC"/>
    <w:rsid w:val="004A2B4D"/>
    <w:rsid w:val="005C19F1"/>
    <w:rsid w:val="0073242F"/>
    <w:rsid w:val="007F6D17"/>
    <w:rsid w:val="00AA1D8D"/>
    <w:rsid w:val="00B47730"/>
    <w:rsid w:val="00C97304"/>
    <w:rsid w:val="00CB0664"/>
    <w:rsid w:val="00CD0722"/>
    <w:rsid w:val="00E15636"/>
    <w:rsid w:val="00F33677"/>
    <w:rsid w:val="00FA5F67"/>
    <w:rsid w:val="00FC693F"/>
    <w:rsid w:val="027B458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D0C0A49"/>
  <w14:defaultImageDpi w14:val="300"/>
  <w15:docId w15:val="{FD694D7D-2D7D-4B17-8B92-FDBCE8E6D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27B458F"/>
    <w:pPr>
      <w:spacing w:after="120"/>
    </w:pPr>
    <w:rPr>
      <w:rFonts w:ascii="Aptos" w:hAnsi="Aptos"/>
      <w:sz w:val="21"/>
      <w:szCs w:val="21"/>
      <w:lang w:val="en-GB"/>
    </w:rPr>
  </w:style>
  <w:style w:type="paragraph" w:styleId="Heading1">
    <w:name w:val="heading 1"/>
    <w:basedOn w:val="Normal"/>
    <w:next w:val="Normal"/>
    <w:link w:val="Heading1Char"/>
    <w:uiPriority w:val="9"/>
    <w:qFormat/>
    <w:rsid w:val="027B458F"/>
    <w:pPr>
      <w:keepNext/>
      <w:keepLines/>
      <w:spacing w:before="480" w:after="0"/>
      <w:outlineLvl w:val="0"/>
    </w:pPr>
    <w:rPr>
      <w:rFonts w:asciiTheme="majorHAnsi" w:eastAsiaTheme="majorEastAsia" w:hAnsiTheme="majorHAnsi" w:cstheme="majorBidi"/>
      <w:b/>
      <w:bCs/>
      <w:color w:val="365F91" w:themeColor="accent1" w:themeShade="BF"/>
      <w:sz w:val="32"/>
      <w:szCs w:val="32"/>
    </w:rPr>
  </w:style>
  <w:style w:type="paragraph" w:styleId="Heading2">
    <w:name w:val="heading 2"/>
    <w:basedOn w:val="Normal"/>
    <w:next w:val="Normal"/>
    <w:link w:val="Heading2Char"/>
    <w:uiPriority w:val="9"/>
    <w:unhideWhenUsed/>
    <w:qFormat/>
    <w:rsid w:val="027B458F"/>
    <w:pPr>
      <w:keepNext/>
      <w:keepLines/>
      <w:spacing w:before="200" w:after="0"/>
      <w:outlineLvl w:val="1"/>
    </w:pPr>
    <w:rPr>
      <w:rFonts w:asciiTheme="majorHAnsi" w:eastAsiaTheme="majorEastAsia" w:hAnsiTheme="majorHAnsi" w:cstheme="majorBidi"/>
      <w:b/>
      <w:bCs/>
      <w:color w:val="4F81BD" w:themeColor="accent1"/>
      <w:sz w:val="25"/>
      <w:szCs w:val="25"/>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27B458F"/>
    <w:pPr>
      <w:keepNext/>
      <w:keepLines/>
      <w:spacing w:before="200" w:after="0"/>
      <w:outlineLvl w:val="4"/>
    </w:pPr>
    <w:rPr>
      <w:rFonts w:asciiTheme="majorHAnsi" w:eastAsiaTheme="majorEastAsia" w:hAnsiTheme="majorHAnsi" w:cstheme="majorBidi"/>
      <w:color w:val="243F60"/>
    </w:rPr>
  </w:style>
  <w:style w:type="paragraph" w:styleId="Heading6">
    <w:name w:val="heading 6"/>
    <w:basedOn w:val="Normal"/>
    <w:next w:val="Normal"/>
    <w:link w:val="Heading6Char"/>
    <w:uiPriority w:val="9"/>
    <w:semiHidden/>
    <w:unhideWhenUsed/>
    <w:qFormat/>
    <w:rsid w:val="027B458F"/>
    <w:pPr>
      <w:keepNext/>
      <w:keepLines/>
      <w:spacing w:before="200" w:after="0"/>
      <w:outlineLvl w:val="5"/>
    </w:pPr>
    <w:rPr>
      <w:rFonts w:asciiTheme="majorHAnsi" w:eastAsiaTheme="majorEastAsia" w:hAnsiTheme="majorHAnsi" w:cstheme="majorBidi"/>
      <w:i/>
      <w:iCs/>
      <w:color w:val="243F60"/>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27B458F"/>
    <w:pPr>
      <w:tabs>
        <w:tab w:val="center" w:pos="4680"/>
        <w:tab w:val="right" w:pos="9360"/>
      </w:tabs>
      <w:spacing w:after="0"/>
    </w:pPr>
  </w:style>
  <w:style w:type="character" w:customStyle="1" w:styleId="HeaderChar">
    <w:name w:val="Header Char"/>
    <w:basedOn w:val="DefaultParagraphFont"/>
    <w:link w:val="Header"/>
    <w:uiPriority w:val="99"/>
    <w:rsid w:val="00E618BF"/>
    <w:rPr>
      <w:rFonts w:ascii="Aptos" w:hAnsi="Aptos"/>
      <w:sz w:val="21"/>
      <w:szCs w:val="21"/>
      <w:lang w:val="en-GB"/>
    </w:rPr>
  </w:style>
  <w:style w:type="paragraph" w:styleId="Footer">
    <w:name w:val="footer"/>
    <w:basedOn w:val="Normal"/>
    <w:link w:val="FooterChar"/>
    <w:uiPriority w:val="99"/>
    <w:unhideWhenUsed/>
    <w:rsid w:val="027B458F"/>
    <w:pPr>
      <w:tabs>
        <w:tab w:val="center" w:pos="4680"/>
        <w:tab w:val="right" w:pos="9360"/>
      </w:tabs>
      <w:spacing w:after="0"/>
    </w:pPr>
  </w:style>
  <w:style w:type="character" w:customStyle="1" w:styleId="FooterChar">
    <w:name w:val="Footer Char"/>
    <w:basedOn w:val="DefaultParagraphFont"/>
    <w:link w:val="Footer"/>
    <w:uiPriority w:val="99"/>
    <w:rsid w:val="00E618BF"/>
    <w:rPr>
      <w:rFonts w:ascii="Aptos" w:hAnsi="Aptos"/>
      <w:sz w:val="21"/>
      <w:szCs w:val="21"/>
      <w:lang w:val="en-GB"/>
    </w:rPr>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32"/>
      <w:szCs w:val="32"/>
      <w:lang w:val="en-GB"/>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5"/>
      <w:szCs w:val="25"/>
      <w:lang w:val="en-GB"/>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27B458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z w:val="48"/>
      <w:szCs w:val="48"/>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z w:val="48"/>
      <w:szCs w:val="48"/>
      <w:lang w:val="en-GB"/>
    </w:rPr>
  </w:style>
  <w:style w:type="paragraph" w:styleId="Subtitle">
    <w:name w:val="Subtitle"/>
    <w:basedOn w:val="Normal"/>
    <w:next w:val="Normal"/>
    <w:link w:val="SubtitleChar"/>
    <w:uiPriority w:val="11"/>
    <w:qFormat/>
    <w:rsid w:val="027B458F"/>
    <w:rPr>
      <w:rFonts w:asciiTheme="majorHAnsi" w:eastAsiaTheme="majorEastAsia" w:hAnsiTheme="majorHAnsi" w:cstheme="majorBidi"/>
      <w:i/>
      <w:iCs/>
      <w:color w:val="4F81BD" w:themeColor="accent1"/>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z w:val="24"/>
      <w:szCs w:val="24"/>
      <w:lang w:val="en-GB"/>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27B458F"/>
  </w:style>
  <w:style w:type="character" w:customStyle="1" w:styleId="BodyText2Char">
    <w:name w:val="Body Text 2 Char"/>
    <w:basedOn w:val="DefaultParagraphFont"/>
    <w:link w:val="BodyText2"/>
    <w:uiPriority w:val="99"/>
    <w:rsid w:val="00AA1D8D"/>
    <w:rPr>
      <w:rFonts w:ascii="Aptos" w:hAnsi="Aptos"/>
      <w:sz w:val="21"/>
      <w:szCs w:val="21"/>
      <w:lang w:val="en-GB"/>
    </w:rPr>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2"/>
      </w:numPr>
      <w:contextualSpacing/>
    </w:pPr>
  </w:style>
  <w:style w:type="paragraph" w:styleId="ListBullet2">
    <w:name w:val="List Bullet 2"/>
    <w:basedOn w:val="Normal"/>
    <w:uiPriority w:val="99"/>
    <w:unhideWhenUsed/>
    <w:rsid w:val="00326F90"/>
    <w:pPr>
      <w:numPr>
        <w:numId w:val="4"/>
      </w:numPr>
      <w:contextualSpacing/>
    </w:pPr>
  </w:style>
  <w:style w:type="paragraph" w:styleId="ListBullet3">
    <w:name w:val="List Bullet 3"/>
    <w:basedOn w:val="Normal"/>
    <w:uiPriority w:val="99"/>
    <w:unhideWhenUsed/>
    <w:rsid w:val="00326F90"/>
    <w:pPr>
      <w:numPr>
        <w:numId w:val="6"/>
      </w:numPr>
      <w:contextualSpacing/>
    </w:pPr>
  </w:style>
  <w:style w:type="paragraph" w:styleId="ListNumber">
    <w:name w:val="List Number"/>
    <w:basedOn w:val="Normal"/>
    <w:uiPriority w:val="99"/>
    <w:unhideWhenUsed/>
    <w:rsid w:val="00326F90"/>
    <w:pPr>
      <w:numPr>
        <w:numId w:val="8"/>
      </w:numPr>
      <w:contextualSpacing/>
    </w:pPr>
  </w:style>
  <w:style w:type="paragraph" w:styleId="ListNumber2">
    <w:name w:val="List Number 2"/>
    <w:basedOn w:val="Normal"/>
    <w:uiPriority w:val="99"/>
    <w:unhideWhenUsed/>
    <w:rsid w:val="0029639D"/>
    <w:pPr>
      <w:numPr>
        <w:numId w:val="7"/>
      </w:numPr>
      <w:contextualSpacing/>
    </w:pPr>
  </w:style>
  <w:style w:type="paragraph" w:styleId="ListNumber3">
    <w:name w:val="List Number 3"/>
    <w:basedOn w:val="Normal"/>
    <w:uiPriority w:val="99"/>
    <w:unhideWhenUsed/>
    <w:rsid w:val="0029639D"/>
    <w:pPr>
      <w:numPr>
        <w:numId w:val="3"/>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sz w:val="21"/>
      <w:szCs w:val="21"/>
      <w:lang w:val="en-GB"/>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sz w:val="21"/>
      <w:szCs w:val="21"/>
      <w:lang w:val="en-GB"/>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27B458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Rachel Delaney Frum (student)</cp:lastModifiedBy>
  <cp:revision>2</cp:revision>
  <dcterms:created xsi:type="dcterms:W3CDTF">2026-08-26T16:39:00Z</dcterms:created>
  <dcterms:modified xsi:type="dcterms:W3CDTF">2026-08-26T16:40:00Z</dcterms:modified>
  <cp:category/>
</cp:coreProperties>
</file>