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5993" w14:textId="7A331CEE" w:rsidR="00915EF7" w:rsidRDefault="00915EF7" w:rsidP="006734A3">
      <w:pPr>
        <w:rPr>
          <w:rFonts w:ascii="Century Gothic" w:hAnsi="Century Gothic" w:cs="Arial"/>
          <w:b/>
          <w:snapToGrid w:val="0"/>
          <w:sz w:val="28"/>
          <w:szCs w:val="28"/>
        </w:rPr>
      </w:pPr>
    </w:p>
    <w:p w14:paraId="744C38F0" w14:textId="77777777" w:rsidR="00915EF7" w:rsidRDefault="006E5613" w:rsidP="00915EF7">
      <w:pPr>
        <w:jc w:val="center"/>
        <w:rPr>
          <w:rFonts w:ascii="Century Gothic" w:hAnsi="Century Gothic" w:cs="Arial"/>
          <w:b/>
          <w:snapToGrid w:val="0"/>
          <w:sz w:val="28"/>
          <w:szCs w:val="28"/>
        </w:rPr>
      </w:pPr>
      <w:r>
        <w:rPr>
          <w:rFonts w:ascii="Century Gothic" w:hAnsi="Century Gothic" w:cs="Arial"/>
          <w:b/>
          <w:noProof/>
          <w:sz w:val="28"/>
          <w:szCs w:val="28"/>
          <w:lang w:eastAsia="en-GB"/>
        </w:rPr>
        <w:drawing>
          <wp:inline distT="0" distB="0" distL="0" distR="0" wp14:anchorId="2F9D78EA" wp14:editId="4734628D">
            <wp:extent cx="2228850" cy="1514475"/>
            <wp:effectExtent l="19050" t="0" r="0" b="0"/>
            <wp:docPr id="4" name="Picture 4" descr="\\server\Dyslexia Scotland\Images\Sharon\Dyslexia Scotland Logos\Logos 2015\DS_Logos_Jpeg_low_MB\Dyslexia_Scotland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Dyslexia Scotland\Images\Sharon\Dyslexia Scotland Logos\Logos 2015\DS_Logos_Jpeg_low_MB\Dyslexia_Scotland_logo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31358B" w14:textId="77777777" w:rsidR="00915EF7" w:rsidRDefault="00915EF7" w:rsidP="00915EF7">
      <w:pPr>
        <w:jc w:val="center"/>
        <w:rPr>
          <w:rFonts w:ascii="Century Gothic" w:hAnsi="Century Gothic" w:cs="Arial"/>
          <w:b/>
          <w:snapToGrid w:val="0"/>
          <w:sz w:val="28"/>
          <w:szCs w:val="28"/>
        </w:rPr>
      </w:pPr>
    </w:p>
    <w:p w14:paraId="19DFCDC5" w14:textId="77777777" w:rsidR="00915EF7" w:rsidRPr="004B03C0" w:rsidRDefault="00915EF7" w:rsidP="006B7C08">
      <w:pPr>
        <w:jc w:val="center"/>
        <w:rPr>
          <w:rFonts w:ascii="Century Gothic" w:hAnsi="Century Gothic" w:cs="Arial"/>
          <w:b/>
          <w:snapToGrid w:val="0"/>
          <w:color w:val="002060"/>
          <w:sz w:val="28"/>
          <w:szCs w:val="28"/>
        </w:rPr>
      </w:pPr>
      <w:r w:rsidRPr="004B03C0">
        <w:rPr>
          <w:rFonts w:ascii="Century Gothic" w:hAnsi="Century Gothic" w:cs="Arial"/>
          <w:b/>
          <w:snapToGrid w:val="0"/>
          <w:color w:val="002060"/>
          <w:sz w:val="28"/>
          <w:szCs w:val="28"/>
        </w:rPr>
        <w:t>DYSLEXIA SCOTLAND</w:t>
      </w:r>
    </w:p>
    <w:p w14:paraId="39E5C1DA" w14:textId="77777777" w:rsidR="00915EF7" w:rsidRPr="004B03C0" w:rsidRDefault="00915EF7" w:rsidP="006B7C08">
      <w:pPr>
        <w:jc w:val="center"/>
        <w:rPr>
          <w:rFonts w:ascii="Century Gothic" w:hAnsi="Century Gothic" w:cs="Arial"/>
          <w:snapToGrid w:val="0"/>
          <w:color w:val="002060"/>
          <w:sz w:val="28"/>
          <w:szCs w:val="28"/>
        </w:rPr>
      </w:pPr>
      <w:r w:rsidRPr="004B03C0">
        <w:rPr>
          <w:rFonts w:ascii="Century Gothic" w:hAnsi="Century Gothic" w:cs="Arial"/>
          <w:snapToGrid w:val="0"/>
          <w:color w:val="002060"/>
          <w:sz w:val="28"/>
          <w:szCs w:val="28"/>
        </w:rPr>
        <w:t>(A Company Limited by Guarantee)</w:t>
      </w:r>
    </w:p>
    <w:p w14:paraId="3E4AA661" w14:textId="77777777" w:rsidR="00915EF7" w:rsidRPr="004B03C0" w:rsidRDefault="00915EF7" w:rsidP="006B7C08">
      <w:pPr>
        <w:jc w:val="center"/>
        <w:rPr>
          <w:rFonts w:ascii="Century Gothic" w:hAnsi="Century Gothic" w:cs="Arial"/>
          <w:b/>
          <w:snapToGrid w:val="0"/>
          <w:color w:val="002060"/>
          <w:sz w:val="28"/>
          <w:szCs w:val="28"/>
        </w:rPr>
      </w:pPr>
      <w:r w:rsidRPr="004B03C0">
        <w:rPr>
          <w:rFonts w:ascii="Century Gothic" w:hAnsi="Century Gothic" w:cs="Arial"/>
          <w:b/>
          <w:snapToGrid w:val="0"/>
          <w:color w:val="002060"/>
          <w:sz w:val="28"/>
          <w:szCs w:val="28"/>
        </w:rPr>
        <w:t xml:space="preserve">SUMMARY FINANCIAL REPORT </w:t>
      </w:r>
    </w:p>
    <w:p w14:paraId="50DDBD71" w14:textId="6492B745" w:rsidR="00915EF7" w:rsidRPr="004B03C0" w:rsidRDefault="00A76C45" w:rsidP="006B7C08">
      <w:pPr>
        <w:jc w:val="center"/>
        <w:rPr>
          <w:rFonts w:ascii="Century Gothic" w:hAnsi="Century Gothic" w:cs="Arial"/>
          <w:b/>
          <w:snapToGrid w:val="0"/>
          <w:color w:val="002060"/>
          <w:sz w:val="28"/>
          <w:szCs w:val="28"/>
        </w:rPr>
      </w:pPr>
      <w:r>
        <w:rPr>
          <w:rFonts w:ascii="Century Gothic" w:hAnsi="Century Gothic" w:cs="Arial"/>
          <w:b/>
          <w:snapToGrid w:val="0"/>
          <w:color w:val="002060"/>
          <w:sz w:val="28"/>
          <w:szCs w:val="28"/>
        </w:rPr>
        <w:t>FOR THE YEAR ENDED 31 MARCH 2022</w:t>
      </w:r>
    </w:p>
    <w:p w14:paraId="65B96899" w14:textId="77777777" w:rsidR="00915EF7" w:rsidRPr="004B03C0" w:rsidRDefault="00915EF7" w:rsidP="006B7C08">
      <w:pPr>
        <w:jc w:val="both"/>
        <w:rPr>
          <w:rFonts w:ascii="Century Gothic" w:hAnsi="Century Gothic" w:cs="Arial"/>
          <w:b/>
          <w:snapToGrid w:val="0"/>
          <w:color w:val="002060"/>
          <w:sz w:val="28"/>
          <w:szCs w:val="28"/>
        </w:rPr>
      </w:pPr>
    </w:p>
    <w:p w14:paraId="14EE998A" w14:textId="77777777" w:rsidR="00915EF7" w:rsidRPr="004B03C0" w:rsidRDefault="00915EF7" w:rsidP="006B7C08">
      <w:pPr>
        <w:jc w:val="both"/>
        <w:rPr>
          <w:rFonts w:ascii="Century Gothic" w:hAnsi="Century Gothic" w:cs="Arial"/>
          <w:snapToGrid w:val="0"/>
          <w:color w:val="002060"/>
          <w:sz w:val="28"/>
          <w:szCs w:val="28"/>
        </w:rPr>
      </w:pPr>
      <w:r w:rsidRPr="004B03C0">
        <w:rPr>
          <w:rFonts w:ascii="Century Gothic" w:hAnsi="Century Gothic" w:cs="Arial"/>
          <w:snapToGrid w:val="0"/>
          <w:color w:val="002060"/>
          <w:sz w:val="28"/>
          <w:szCs w:val="28"/>
        </w:rPr>
        <w:t>The full Report and Financial Statements, including Company information, Directors’ Report, Report of the Auditors and Statement of Financial Activities, is available as a separate document.</w:t>
      </w:r>
    </w:p>
    <w:p w14:paraId="20850273" w14:textId="77777777" w:rsidR="00915EF7" w:rsidRPr="004B03C0" w:rsidRDefault="00915EF7" w:rsidP="006B7C08">
      <w:pPr>
        <w:rPr>
          <w:rFonts w:ascii="Century Gothic" w:hAnsi="Century Gothic" w:cs="Arial"/>
          <w:snapToGrid w:val="0"/>
          <w:color w:val="002060"/>
          <w:sz w:val="28"/>
          <w:szCs w:val="28"/>
        </w:rPr>
      </w:pPr>
      <w:r w:rsidRPr="004B03C0">
        <w:rPr>
          <w:rFonts w:ascii="Century Gothic" w:hAnsi="Century Gothic" w:cs="Arial"/>
          <w:snapToGrid w:val="0"/>
          <w:color w:val="002060"/>
          <w:sz w:val="28"/>
          <w:szCs w:val="28"/>
        </w:rPr>
        <w:t>This document provides a summary of the Financial Report under the following headings:</w:t>
      </w:r>
    </w:p>
    <w:p w14:paraId="29BBBBE9" w14:textId="77777777" w:rsidR="00915EF7" w:rsidRDefault="00915EF7" w:rsidP="006B7C08">
      <w:pPr>
        <w:numPr>
          <w:ilvl w:val="0"/>
          <w:numId w:val="4"/>
        </w:numPr>
        <w:tabs>
          <w:tab w:val="clear" w:pos="1875"/>
          <w:tab w:val="num" w:pos="2595"/>
        </w:tabs>
        <w:spacing w:after="0" w:line="360" w:lineRule="auto"/>
        <w:ind w:left="426" w:hanging="426"/>
        <w:rPr>
          <w:rFonts w:ascii="Century Gothic" w:hAnsi="Century Gothic" w:cs="Arial"/>
          <w:snapToGrid w:val="0"/>
          <w:color w:val="002060"/>
          <w:sz w:val="28"/>
          <w:szCs w:val="28"/>
        </w:rPr>
      </w:pPr>
      <w:r w:rsidRPr="004B03C0">
        <w:rPr>
          <w:rFonts w:ascii="Century Gothic" w:hAnsi="Century Gothic" w:cs="Arial"/>
          <w:snapToGrid w:val="0"/>
          <w:color w:val="002060"/>
          <w:sz w:val="28"/>
          <w:szCs w:val="28"/>
        </w:rPr>
        <w:t>Introduction</w:t>
      </w:r>
    </w:p>
    <w:p w14:paraId="2224B416" w14:textId="77777777" w:rsidR="004B03C0" w:rsidRPr="004B03C0" w:rsidRDefault="004B03C0" w:rsidP="006B7C08">
      <w:pPr>
        <w:numPr>
          <w:ilvl w:val="0"/>
          <w:numId w:val="4"/>
        </w:numPr>
        <w:tabs>
          <w:tab w:val="clear" w:pos="1875"/>
          <w:tab w:val="num" w:pos="2595"/>
        </w:tabs>
        <w:spacing w:after="0" w:line="360" w:lineRule="auto"/>
        <w:ind w:left="426" w:hanging="426"/>
        <w:rPr>
          <w:rFonts w:ascii="Century Gothic" w:hAnsi="Century Gothic" w:cs="Arial"/>
          <w:snapToGrid w:val="0"/>
          <w:color w:val="002060"/>
          <w:sz w:val="28"/>
          <w:szCs w:val="28"/>
        </w:rPr>
      </w:pPr>
      <w:r>
        <w:rPr>
          <w:rFonts w:ascii="Century Gothic" w:hAnsi="Century Gothic" w:cs="Arial"/>
          <w:snapToGrid w:val="0"/>
          <w:color w:val="002060"/>
          <w:sz w:val="28"/>
          <w:szCs w:val="28"/>
        </w:rPr>
        <w:t>Summary of Results</w:t>
      </w:r>
    </w:p>
    <w:p w14:paraId="751D6CAE" w14:textId="77777777" w:rsidR="00915EF7" w:rsidRPr="004B03C0" w:rsidRDefault="00915EF7" w:rsidP="006B7C08">
      <w:pPr>
        <w:numPr>
          <w:ilvl w:val="0"/>
          <w:numId w:val="4"/>
        </w:numPr>
        <w:tabs>
          <w:tab w:val="clear" w:pos="1875"/>
          <w:tab w:val="num" w:pos="2595"/>
        </w:tabs>
        <w:spacing w:after="0" w:line="360" w:lineRule="auto"/>
        <w:ind w:left="426" w:hanging="426"/>
        <w:rPr>
          <w:rFonts w:ascii="Century Gothic" w:hAnsi="Century Gothic" w:cs="Arial"/>
          <w:snapToGrid w:val="0"/>
          <w:color w:val="002060"/>
          <w:sz w:val="28"/>
          <w:szCs w:val="28"/>
        </w:rPr>
      </w:pPr>
      <w:r w:rsidRPr="004B03C0">
        <w:rPr>
          <w:rFonts w:ascii="Century Gothic" w:hAnsi="Century Gothic" w:cs="Arial"/>
          <w:snapToGrid w:val="0"/>
          <w:color w:val="002060"/>
          <w:sz w:val="28"/>
          <w:szCs w:val="28"/>
        </w:rPr>
        <w:t>Sources of Income</w:t>
      </w:r>
    </w:p>
    <w:p w14:paraId="04DF545D" w14:textId="77777777" w:rsidR="00915EF7" w:rsidRPr="004B03C0" w:rsidRDefault="00915EF7" w:rsidP="006B7C08">
      <w:pPr>
        <w:numPr>
          <w:ilvl w:val="0"/>
          <w:numId w:val="4"/>
        </w:numPr>
        <w:tabs>
          <w:tab w:val="clear" w:pos="1875"/>
          <w:tab w:val="num" w:pos="2595"/>
        </w:tabs>
        <w:spacing w:after="0" w:line="360" w:lineRule="auto"/>
        <w:ind w:left="426" w:right="284" w:hanging="426"/>
        <w:jc w:val="both"/>
        <w:rPr>
          <w:rFonts w:ascii="Century Gothic" w:hAnsi="Century Gothic" w:cs="Arial"/>
          <w:bCs/>
          <w:snapToGrid w:val="0"/>
          <w:color w:val="002060"/>
          <w:sz w:val="28"/>
          <w:szCs w:val="28"/>
        </w:rPr>
      </w:pPr>
      <w:r w:rsidRPr="004B03C0">
        <w:rPr>
          <w:rFonts w:ascii="Century Gothic" w:hAnsi="Century Gothic" w:cs="Arial"/>
          <w:bCs/>
          <w:snapToGrid w:val="0"/>
          <w:color w:val="002060"/>
          <w:sz w:val="28"/>
          <w:szCs w:val="28"/>
        </w:rPr>
        <w:t>Expenditure</w:t>
      </w:r>
    </w:p>
    <w:p w14:paraId="06B41EB9" w14:textId="77777777" w:rsidR="00915EF7" w:rsidRPr="004B03C0" w:rsidRDefault="00915EF7" w:rsidP="006B7C08">
      <w:pPr>
        <w:numPr>
          <w:ilvl w:val="0"/>
          <w:numId w:val="4"/>
        </w:numPr>
        <w:tabs>
          <w:tab w:val="clear" w:pos="1875"/>
          <w:tab w:val="num" w:pos="2595"/>
        </w:tabs>
        <w:spacing w:after="0" w:line="360" w:lineRule="auto"/>
        <w:ind w:left="426" w:right="284" w:hanging="426"/>
        <w:jc w:val="both"/>
        <w:rPr>
          <w:rFonts w:ascii="Century Gothic" w:hAnsi="Century Gothic" w:cs="Arial"/>
          <w:color w:val="002060"/>
          <w:sz w:val="28"/>
          <w:szCs w:val="28"/>
        </w:rPr>
      </w:pPr>
      <w:r w:rsidRPr="004B03C0">
        <w:rPr>
          <w:rFonts w:ascii="Century Gothic" w:hAnsi="Century Gothic" w:cs="Arial"/>
          <w:color w:val="002060"/>
          <w:sz w:val="28"/>
          <w:szCs w:val="28"/>
        </w:rPr>
        <w:t>Balance Sheet</w:t>
      </w:r>
    </w:p>
    <w:p w14:paraId="470B55C1" w14:textId="77777777" w:rsidR="00915EF7" w:rsidRPr="004B03C0" w:rsidRDefault="00915EF7" w:rsidP="006B7C08">
      <w:pPr>
        <w:numPr>
          <w:ilvl w:val="0"/>
          <w:numId w:val="4"/>
        </w:numPr>
        <w:tabs>
          <w:tab w:val="clear" w:pos="1875"/>
          <w:tab w:val="num" w:pos="2595"/>
        </w:tabs>
        <w:spacing w:after="0" w:line="360" w:lineRule="auto"/>
        <w:ind w:left="426" w:right="284" w:hanging="426"/>
        <w:jc w:val="both"/>
        <w:rPr>
          <w:rFonts w:ascii="Century Gothic" w:hAnsi="Century Gothic" w:cs="Arial"/>
          <w:color w:val="002060"/>
          <w:sz w:val="28"/>
          <w:szCs w:val="28"/>
        </w:rPr>
      </w:pPr>
      <w:r w:rsidRPr="004B03C0">
        <w:rPr>
          <w:rFonts w:ascii="Century Gothic" w:hAnsi="Century Gothic" w:cs="Arial"/>
          <w:color w:val="002060"/>
          <w:sz w:val="28"/>
          <w:szCs w:val="28"/>
        </w:rPr>
        <w:t>Funding sources</w:t>
      </w:r>
    </w:p>
    <w:p w14:paraId="18E5AFF2" w14:textId="77777777" w:rsidR="00915EF7" w:rsidRPr="004B03C0" w:rsidRDefault="00915EF7" w:rsidP="006B7C08">
      <w:pPr>
        <w:numPr>
          <w:ilvl w:val="0"/>
          <w:numId w:val="4"/>
        </w:numPr>
        <w:tabs>
          <w:tab w:val="clear" w:pos="1875"/>
          <w:tab w:val="num" w:pos="2595"/>
        </w:tabs>
        <w:spacing w:after="0" w:line="360" w:lineRule="auto"/>
        <w:ind w:left="426" w:right="284" w:hanging="426"/>
        <w:jc w:val="both"/>
        <w:rPr>
          <w:rFonts w:ascii="Century Gothic" w:hAnsi="Century Gothic" w:cs="Arial"/>
          <w:color w:val="002060"/>
          <w:sz w:val="28"/>
          <w:szCs w:val="28"/>
        </w:rPr>
      </w:pPr>
      <w:r w:rsidRPr="004B03C0">
        <w:rPr>
          <w:rFonts w:ascii="Century Gothic" w:hAnsi="Century Gothic"/>
          <w:bCs/>
          <w:color w:val="002060"/>
          <w:sz w:val="28"/>
          <w:szCs w:val="28"/>
        </w:rPr>
        <w:t>Appendix One - Statement of Financial Activities</w:t>
      </w:r>
    </w:p>
    <w:p w14:paraId="3E9BA0CB" w14:textId="77777777" w:rsidR="00915EF7" w:rsidRPr="004B03C0" w:rsidRDefault="00915EF7" w:rsidP="006B7C08">
      <w:pPr>
        <w:numPr>
          <w:ilvl w:val="0"/>
          <w:numId w:val="4"/>
        </w:numPr>
        <w:tabs>
          <w:tab w:val="clear" w:pos="1875"/>
          <w:tab w:val="num" w:pos="2595"/>
        </w:tabs>
        <w:spacing w:after="0" w:line="360" w:lineRule="auto"/>
        <w:ind w:left="426" w:right="284" w:hanging="426"/>
        <w:jc w:val="both"/>
        <w:rPr>
          <w:rFonts w:ascii="Century Gothic" w:hAnsi="Century Gothic" w:cs="Arial"/>
          <w:color w:val="002060"/>
          <w:sz w:val="28"/>
          <w:szCs w:val="28"/>
        </w:rPr>
      </w:pPr>
      <w:r w:rsidRPr="004B03C0">
        <w:rPr>
          <w:rFonts w:ascii="Century Gothic" w:hAnsi="Century Gothic"/>
          <w:bCs/>
          <w:color w:val="002060"/>
          <w:sz w:val="28"/>
          <w:szCs w:val="28"/>
        </w:rPr>
        <w:lastRenderedPageBreak/>
        <w:t>Appendix Two - Balance Sheet</w:t>
      </w:r>
    </w:p>
    <w:p w14:paraId="73746954" w14:textId="77777777" w:rsidR="00915EF7" w:rsidRPr="004B03C0" w:rsidRDefault="00915EF7" w:rsidP="006B7C08">
      <w:pPr>
        <w:spacing w:line="360" w:lineRule="auto"/>
        <w:rPr>
          <w:rFonts w:ascii="Century Gothic" w:hAnsi="Century Gothic" w:cs="Arial"/>
          <w:snapToGrid w:val="0"/>
          <w:color w:val="002060"/>
          <w:sz w:val="28"/>
          <w:szCs w:val="28"/>
        </w:rPr>
      </w:pPr>
    </w:p>
    <w:p w14:paraId="2DE2BC2F" w14:textId="3063C28E" w:rsidR="00915EF7" w:rsidRDefault="00915EF7" w:rsidP="006B7C08">
      <w:pPr>
        <w:spacing w:line="360" w:lineRule="auto"/>
        <w:rPr>
          <w:rFonts w:ascii="Century Gothic" w:hAnsi="Century Gothic"/>
          <w:b/>
          <w:color w:val="000080"/>
          <w:sz w:val="24"/>
          <w:szCs w:val="24"/>
        </w:rPr>
      </w:pPr>
    </w:p>
    <w:p w14:paraId="6E5A11AA" w14:textId="77777777" w:rsidR="00915EF7" w:rsidRPr="004B03C0" w:rsidRDefault="00915EF7" w:rsidP="006B7C08">
      <w:pPr>
        <w:spacing w:line="360" w:lineRule="auto"/>
        <w:rPr>
          <w:rFonts w:ascii="Century Gothic" w:hAnsi="Century Gothic"/>
          <w:b/>
          <w:color w:val="002060"/>
          <w:sz w:val="24"/>
          <w:szCs w:val="24"/>
        </w:rPr>
      </w:pPr>
      <w:r w:rsidRPr="004B03C0">
        <w:rPr>
          <w:rFonts w:ascii="Century Gothic" w:hAnsi="Century Gothic"/>
          <w:b/>
          <w:color w:val="002060"/>
          <w:sz w:val="24"/>
          <w:szCs w:val="24"/>
        </w:rPr>
        <w:t>Introduction</w:t>
      </w:r>
    </w:p>
    <w:p w14:paraId="1064A89D" w14:textId="77777777" w:rsidR="00915EF7" w:rsidRPr="004B03C0" w:rsidRDefault="00915EF7" w:rsidP="006B7C08">
      <w:pPr>
        <w:numPr>
          <w:ilvl w:val="0"/>
          <w:numId w:val="5"/>
        </w:numPr>
        <w:tabs>
          <w:tab w:val="clear" w:pos="720"/>
          <w:tab w:val="num" w:pos="1440"/>
        </w:tabs>
        <w:spacing w:line="360" w:lineRule="auto"/>
        <w:ind w:left="426" w:hanging="426"/>
        <w:rPr>
          <w:rFonts w:ascii="Century Gothic" w:hAnsi="Century Gothic"/>
          <w:b/>
          <w:bCs/>
          <w:color w:val="002060"/>
          <w:sz w:val="24"/>
          <w:szCs w:val="24"/>
        </w:rPr>
      </w:pPr>
      <w:r w:rsidRPr="004B03C0">
        <w:rPr>
          <w:rFonts w:ascii="Century Gothic" w:hAnsi="Century Gothic"/>
          <w:color w:val="002060"/>
          <w:sz w:val="24"/>
          <w:szCs w:val="24"/>
        </w:rPr>
        <w:t>The financial statements reflect:</w:t>
      </w:r>
    </w:p>
    <w:p w14:paraId="00A53A46" w14:textId="034B75E2" w:rsidR="00915EF7" w:rsidRPr="006B7C08" w:rsidRDefault="00915EF7" w:rsidP="006B7C08">
      <w:pPr>
        <w:spacing w:line="360" w:lineRule="auto"/>
        <w:ind w:left="1434" w:hanging="1008"/>
        <w:rPr>
          <w:rFonts w:ascii="Century Gothic" w:hAnsi="Century Gothic"/>
          <w:bCs/>
          <w:color w:val="002060"/>
          <w:sz w:val="24"/>
          <w:szCs w:val="24"/>
        </w:rPr>
      </w:pPr>
      <w:r w:rsidRPr="006B7C08">
        <w:rPr>
          <w:rFonts w:ascii="Century Gothic" w:hAnsi="Century Gothic"/>
          <w:bCs/>
          <w:color w:val="002060"/>
          <w:sz w:val="24"/>
          <w:szCs w:val="24"/>
        </w:rPr>
        <w:t>(a)</w:t>
      </w:r>
      <w:r w:rsidR="006B7C08">
        <w:rPr>
          <w:rFonts w:ascii="Century Gothic" w:hAnsi="Century Gothic"/>
          <w:bCs/>
          <w:color w:val="002060"/>
          <w:sz w:val="24"/>
          <w:szCs w:val="24"/>
        </w:rPr>
        <w:tab/>
      </w:r>
      <w:r w:rsidRPr="006B7C08">
        <w:rPr>
          <w:rFonts w:ascii="Century Gothic" w:hAnsi="Century Gothic"/>
          <w:bCs/>
          <w:color w:val="002060"/>
          <w:sz w:val="24"/>
          <w:szCs w:val="24"/>
        </w:rPr>
        <w:t xml:space="preserve">The Net Movement in Funds over the reporting period i.e. the difference between Income and Expenditure (see Appendix One - Statement of Financial Activities); and </w:t>
      </w:r>
    </w:p>
    <w:p w14:paraId="5DB93B7C" w14:textId="3A12C7F7" w:rsidR="00915EF7" w:rsidRPr="006B7C08" w:rsidRDefault="009F2EAE" w:rsidP="006B7C08">
      <w:pPr>
        <w:spacing w:line="360" w:lineRule="auto"/>
        <w:ind w:left="1434" w:hanging="1008"/>
        <w:rPr>
          <w:rFonts w:ascii="Century Gothic" w:hAnsi="Century Gothic"/>
          <w:bCs/>
          <w:color w:val="002060"/>
          <w:sz w:val="24"/>
          <w:szCs w:val="24"/>
        </w:rPr>
      </w:pPr>
      <w:r w:rsidRPr="006B7C08">
        <w:rPr>
          <w:rFonts w:ascii="Century Gothic" w:hAnsi="Century Gothic"/>
          <w:bCs/>
          <w:color w:val="002060"/>
          <w:sz w:val="24"/>
          <w:szCs w:val="24"/>
        </w:rPr>
        <w:t xml:space="preserve">(b) </w:t>
      </w:r>
      <w:r w:rsidR="006B7C08" w:rsidRPr="006B7C08">
        <w:rPr>
          <w:rFonts w:ascii="Century Gothic" w:hAnsi="Century Gothic"/>
          <w:bCs/>
          <w:color w:val="002060"/>
          <w:sz w:val="24"/>
          <w:szCs w:val="24"/>
        </w:rPr>
        <w:tab/>
      </w:r>
      <w:r w:rsidRPr="006B7C08">
        <w:rPr>
          <w:rFonts w:ascii="Century Gothic" w:hAnsi="Century Gothic"/>
          <w:bCs/>
          <w:color w:val="002060"/>
          <w:sz w:val="24"/>
          <w:szCs w:val="24"/>
        </w:rPr>
        <w:t>The Net A</w:t>
      </w:r>
      <w:r w:rsidR="00915EF7" w:rsidRPr="006B7C08">
        <w:rPr>
          <w:rFonts w:ascii="Century Gothic" w:hAnsi="Century Gothic"/>
          <w:bCs/>
          <w:color w:val="002060"/>
          <w:sz w:val="24"/>
          <w:szCs w:val="24"/>
        </w:rPr>
        <w:t>ssets of the charity after allowing for all known liabilities (see Appendix Two - Balance Sheet)</w:t>
      </w:r>
    </w:p>
    <w:p w14:paraId="262BFCC2" w14:textId="51F9A76B" w:rsidR="00915EF7" w:rsidRPr="004B03C0" w:rsidRDefault="00915EF7" w:rsidP="006B7C08">
      <w:pPr>
        <w:pStyle w:val="ListParagraph"/>
        <w:spacing w:line="360" w:lineRule="auto"/>
        <w:ind w:left="0"/>
        <w:rPr>
          <w:rFonts w:ascii="Century Gothic" w:hAnsi="Century Gothic"/>
          <w:b/>
          <w:bCs/>
          <w:color w:val="002060"/>
          <w:sz w:val="24"/>
          <w:szCs w:val="24"/>
        </w:rPr>
      </w:pPr>
      <w:r w:rsidRPr="004B03C0">
        <w:rPr>
          <w:rFonts w:ascii="Century Gothic" w:hAnsi="Century Gothic"/>
          <w:b/>
          <w:bCs/>
          <w:color w:val="002060"/>
          <w:sz w:val="24"/>
          <w:szCs w:val="24"/>
        </w:rPr>
        <w:t>Summary</w:t>
      </w:r>
      <w:r w:rsidR="0040478E">
        <w:rPr>
          <w:rFonts w:ascii="Century Gothic" w:hAnsi="Century Gothic"/>
          <w:b/>
          <w:bCs/>
          <w:color w:val="002060"/>
          <w:sz w:val="24"/>
          <w:szCs w:val="24"/>
        </w:rPr>
        <w:t xml:space="preserve"> of Results</w:t>
      </w:r>
    </w:p>
    <w:p w14:paraId="008C7553" w14:textId="0C27B9CF" w:rsidR="00915EF7" w:rsidRPr="004B03C0" w:rsidRDefault="009F2EAE" w:rsidP="006B7C08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Century Gothic" w:hAnsi="Century Gothic"/>
          <w:bCs/>
          <w:color w:val="002060"/>
          <w:sz w:val="24"/>
          <w:szCs w:val="24"/>
        </w:rPr>
      </w:pPr>
      <w:r>
        <w:rPr>
          <w:rFonts w:ascii="Century Gothic" w:hAnsi="Century Gothic"/>
          <w:bCs/>
          <w:color w:val="002060"/>
          <w:sz w:val="24"/>
          <w:szCs w:val="24"/>
        </w:rPr>
        <w:t>Net Movement in F</w:t>
      </w:r>
      <w:r w:rsidR="00112F26">
        <w:rPr>
          <w:rFonts w:ascii="Century Gothic" w:hAnsi="Century Gothic"/>
          <w:bCs/>
          <w:color w:val="002060"/>
          <w:sz w:val="24"/>
          <w:szCs w:val="24"/>
        </w:rPr>
        <w:t>unds over the period to 31/03/22</w:t>
      </w:r>
      <w:r w:rsidR="00915EF7" w:rsidRPr="004B03C0">
        <w:rPr>
          <w:rFonts w:ascii="Century Gothic" w:hAnsi="Century Gothic"/>
          <w:bCs/>
          <w:color w:val="002060"/>
          <w:sz w:val="24"/>
          <w:szCs w:val="24"/>
        </w:rPr>
        <w:t xml:space="preserve"> r</w:t>
      </w:r>
      <w:r w:rsidR="00F42B3B">
        <w:rPr>
          <w:rFonts w:ascii="Century Gothic" w:hAnsi="Century Gothic"/>
          <w:bCs/>
          <w:color w:val="002060"/>
          <w:sz w:val="24"/>
          <w:szCs w:val="24"/>
        </w:rPr>
        <w:t xml:space="preserve">esulted </w:t>
      </w:r>
      <w:r w:rsidR="00F42B3B" w:rsidRPr="000C3B4C">
        <w:rPr>
          <w:rFonts w:ascii="Century Gothic" w:hAnsi="Century Gothic"/>
          <w:bCs/>
          <w:color w:val="002060"/>
          <w:sz w:val="24"/>
          <w:szCs w:val="24"/>
        </w:rPr>
        <w:t xml:space="preserve">in a </w:t>
      </w:r>
      <w:r w:rsidR="00112F26" w:rsidRPr="000C3B4C">
        <w:rPr>
          <w:rFonts w:ascii="Century Gothic" w:hAnsi="Century Gothic"/>
          <w:bCs/>
          <w:color w:val="002060"/>
          <w:sz w:val="24"/>
          <w:szCs w:val="24"/>
        </w:rPr>
        <w:t>surplus</w:t>
      </w:r>
      <w:r w:rsidR="00A62E4A" w:rsidRPr="000C3B4C">
        <w:rPr>
          <w:rFonts w:ascii="Century Gothic" w:hAnsi="Century Gothic"/>
          <w:bCs/>
          <w:color w:val="002060"/>
          <w:sz w:val="24"/>
          <w:szCs w:val="24"/>
        </w:rPr>
        <w:t xml:space="preserve"> of £</w:t>
      </w:r>
      <w:r w:rsidR="00112F26" w:rsidRPr="000C3B4C">
        <w:rPr>
          <w:rFonts w:ascii="Century Gothic" w:hAnsi="Century Gothic"/>
          <w:bCs/>
          <w:color w:val="002060"/>
          <w:sz w:val="24"/>
          <w:szCs w:val="24"/>
        </w:rPr>
        <w:t>36,937</w:t>
      </w:r>
      <w:r w:rsidRPr="000C3B4C">
        <w:rPr>
          <w:rFonts w:ascii="Century Gothic" w:hAnsi="Century Gothic"/>
          <w:bCs/>
          <w:color w:val="002060"/>
          <w:sz w:val="24"/>
          <w:szCs w:val="24"/>
        </w:rPr>
        <w:t>,</w:t>
      </w:r>
      <w:r w:rsidR="00B126F9" w:rsidRPr="000C3B4C">
        <w:rPr>
          <w:rFonts w:ascii="Century Gothic" w:hAnsi="Century Gothic"/>
          <w:bCs/>
          <w:color w:val="002060"/>
          <w:sz w:val="24"/>
          <w:szCs w:val="24"/>
        </w:rPr>
        <w:t xml:space="preserve"> i</w:t>
      </w:r>
      <w:r w:rsidR="00B126F9" w:rsidRPr="004B03C0">
        <w:rPr>
          <w:rFonts w:ascii="Century Gothic" w:hAnsi="Century Gothic"/>
          <w:bCs/>
          <w:color w:val="002060"/>
          <w:sz w:val="24"/>
          <w:szCs w:val="24"/>
        </w:rPr>
        <w:t>.e</w:t>
      </w:r>
      <w:r w:rsidR="00A874B0" w:rsidRPr="004B03C0">
        <w:rPr>
          <w:rFonts w:ascii="Century Gothic" w:hAnsi="Century Gothic"/>
          <w:bCs/>
          <w:color w:val="002060"/>
          <w:sz w:val="24"/>
          <w:szCs w:val="24"/>
        </w:rPr>
        <w:t>.</w:t>
      </w:r>
      <w:r w:rsidR="00F42B3B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112F26">
        <w:rPr>
          <w:rFonts w:ascii="Century Gothic" w:hAnsi="Century Gothic"/>
          <w:bCs/>
          <w:color w:val="002060"/>
          <w:sz w:val="24"/>
          <w:szCs w:val="24"/>
        </w:rPr>
        <w:t xml:space="preserve">income </w:t>
      </w:r>
      <w:r w:rsidR="00F42B3B">
        <w:rPr>
          <w:rFonts w:ascii="Century Gothic" w:hAnsi="Century Gothic"/>
          <w:bCs/>
          <w:color w:val="002060"/>
          <w:sz w:val="24"/>
          <w:szCs w:val="24"/>
        </w:rPr>
        <w:t xml:space="preserve">exceeded </w:t>
      </w:r>
      <w:r w:rsidR="00112F26">
        <w:rPr>
          <w:rFonts w:ascii="Century Gothic" w:hAnsi="Century Gothic"/>
          <w:bCs/>
          <w:color w:val="002060"/>
          <w:sz w:val="24"/>
          <w:szCs w:val="24"/>
        </w:rPr>
        <w:t xml:space="preserve">expenditure </w:t>
      </w:r>
      <w:r w:rsidR="00B126F9" w:rsidRPr="004B03C0">
        <w:rPr>
          <w:rFonts w:ascii="Century Gothic" w:hAnsi="Century Gothic"/>
          <w:bCs/>
          <w:color w:val="002060"/>
          <w:sz w:val="24"/>
          <w:szCs w:val="24"/>
        </w:rPr>
        <w:t xml:space="preserve">by this </w:t>
      </w:r>
      <w:r w:rsidR="006734A3" w:rsidRPr="004B03C0">
        <w:rPr>
          <w:rFonts w:ascii="Century Gothic" w:hAnsi="Century Gothic"/>
          <w:bCs/>
          <w:color w:val="002060"/>
          <w:sz w:val="24"/>
          <w:szCs w:val="24"/>
        </w:rPr>
        <w:t xml:space="preserve">amount </w:t>
      </w:r>
      <w:r w:rsidR="006734A3">
        <w:rPr>
          <w:rFonts w:ascii="Century Gothic" w:hAnsi="Century Gothic"/>
          <w:bCs/>
          <w:color w:val="002060"/>
          <w:sz w:val="24"/>
          <w:szCs w:val="24"/>
        </w:rPr>
        <w:t>(</w:t>
      </w:r>
      <w:r w:rsidR="00A76C45">
        <w:rPr>
          <w:rFonts w:ascii="Century Gothic" w:hAnsi="Century Gothic"/>
          <w:bCs/>
          <w:color w:val="002060"/>
          <w:sz w:val="24"/>
          <w:szCs w:val="24"/>
        </w:rPr>
        <w:t>a deficit of £</w:t>
      </w:r>
      <w:r w:rsidR="006734A3">
        <w:rPr>
          <w:rFonts w:ascii="Century Gothic" w:hAnsi="Century Gothic"/>
          <w:bCs/>
          <w:color w:val="002060"/>
          <w:sz w:val="24"/>
          <w:szCs w:val="24"/>
        </w:rPr>
        <w:t>19,666 was</w:t>
      </w:r>
      <w:r w:rsidR="005E4B94">
        <w:rPr>
          <w:rFonts w:ascii="Century Gothic" w:hAnsi="Century Gothic"/>
          <w:bCs/>
          <w:color w:val="002060"/>
          <w:sz w:val="24"/>
          <w:szCs w:val="24"/>
        </w:rPr>
        <w:t xml:space="preserve"> recorded</w:t>
      </w:r>
      <w:r w:rsidR="00915EF7" w:rsidRPr="004B03C0">
        <w:rPr>
          <w:rFonts w:ascii="Century Gothic" w:hAnsi="Century Gothic"/>
          <w:bCs/>
          <w:color w:val="002060"/>
          <w:sz w:val="24"/>
          <w:szCs w:val="24"/>
        </w:rPr>
        <w:t xml:space="preserve"> for the </w:t>
      </w:r>
      <w:r w:rsidR="00A76C45">
        <w:rPr>
          <w:rFonts w:ascii="Century Gothic" w:hAnsi="Century Gothic"/>
          <w:bCs/>
          <w:color w:val="002060"/>
          <w:sz w:val="24"/>
          <w:szCs w:val="24"/>
        </w:rPr>
        <w:t>corresponding period to 31/03/21</w:t>
      </w:r>
      <w:r w:rsidR="00915EF7" w:rsidRPr="004B03C0">
        <w:rPr>
          <w:rFonts w:ascii="Century Gothic" w:hAnsi="Century Gothic"/>
          <w:bCs/>
          <w:color w:val="002060"/>
          <w:sz w:val="24"/>
          <w:szCs w:val="24"/>
        </w:rPr>
        <w:t xml:space="preserve">). </w:t>
      </w:r>
    </w:p>
    <w:p w14:paraId="277D9246" w14:textId="487CB13E" w:rsidR="00915EF7" w:rsidRPr="00900D60" w:rsidRDefault="00B126F9" w:rsidP="006B7C08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Century Gothic" w:hAnsi="Century Gothic"/>
          <w:bCs/>
          <w:color w:val="002060"/>
          <w:sz w:val="24"/>
          <w:szCs w:val="24"/>
        </w:rPr>
      </w:pPr>
      <w:r w:rsidRPr="004B03C0">
        <w:rPr>
          <w:rFonts w:ascii="Century Gothic" w:hAnsi="Century Gothic"/>
          <w:bCs/>
          <w:color w:val="002060"/>
          <w:sz w:val="24"/>
          <w:szCs w:val="24"/>
        </w:rPr>
        <w:t xml:space="preserve">As a result of the above </w:t>
      </w:r>
      <w:r w:rsidR="00112F26">
        <w:rPr>
          <w:rFonts w:ascii="Century Gothic" w:hAnsi="Century Gothic"/>
          <w:bCs/>
          <w:color w:val="002060"/>
          <w:sz w:val="24"/>
          <w:szCs w:val="24"/>
        </w:rPr>
        <w:t>surplus</w:t>
      </w:r>
      <w:r w:rsidR="00915EF7" w:rsidRPr="00900D60">
        <w:rPr>
          <w:rFonts w:ascii="Century Gothic" w:hAnsi="Century Gothic"/>
          <w:bCs/>
          <w:color w:val="002060"/>
          <w:sz w:val="24"/>
          <w:szCs w:val="24"/>
        </w:rPr>
        <w:t xml:space="preserve">, </w:t>
      </w:r>
      <w:r w:rsidR="00112F26">
        <w:rPr>
          <w:rFonts w:ascii="Century Gothic" w:hAnsi="Century Gothic"/>
          <w:bCs/>
          <w:color w:val="002060"/>
          <w:sz w:val="24"/>
          <w:szCs w:val="24"/>
        </w:rPr>
        <w:t>Net Assets in</w:t>
      </w:r>
      <w:r w:rsidR="00A62E4A">
        <w:rPr>
          <w:rFonts w:ascii="Century Gothic" w:hAnsi="Century Gothic"/>
          <w:bCs/>
          <w:color w:val="002060"/>
          <w:sz w:val="24"/>
          <w:szCs w:val="24"/>
        </w:rPr>
        <w:t xml:space="preserve">creased to </w:t>
      </w:r>
      <w:r w:rsidR="00A62E4A" w:rsidRPr="000C3B4C">
        <w:rPr>
          <w:rFonts w:ascii="Century Gothic" w:hAnsi="Century Gothic"/>
          <w:bCs/>
          <w:color w:val="002060"/>
          <w:sz w:val="24"/>
          <w:szCs w:val="24"/>
        </w:rPr>
        <w:t>£</w:t>
      </w:r>
      <w:r w:rsidR="00112F26" w:rsidRPr="000C3B4C">
        <w:rPr>
          <w:rFonts w:ascii="Century Gothic" w:hAnsi="Century Gothic"/>
          <w:bCs/>
          <w:color w:val="002060"/>
          <w:sz w:val="24"/>
          <w:szCs w:val="24"/>
        </w:rPr>
        <w:t>519,782</w:t>
      </w:r>
      <w:r w:rsidR="00F70586" w:rsidRPr="000C3B4C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A76C45" w:rsidRPr="000C3B4C">
        <w:rPr>
          <w:rFonts w:ascii="Century Gothic" w:hAnsi="Century Gothic"/>
          <w:bCs/>
          <w:color w:val="002060"/>
          <w:sz w:val="24"/>
          <w:szCs w:val="24"/>
        </w:rPr>
        <w:t xml:space="preserve">as </w:t>
      </w:r>
      <w:r w:rsidR="00A76C45">
        <w:rPr>
          <w:rFonts w:ascii="Century Gothic" w:hAnsi="Century Gothic"/>
          <w:bCs/>
          <w:color w:val="002060"/>
          <w:sz w:val="24"/>
          <w:szCs w:val="24"/>
        </w:rPr>
        <w:t>at 31/03/22</w:t>
      </w:r>
      <w:r w:rsidR="00915EF7" w:rsidRPr="00900D60">
        <w:rPr>
          <w:rFonts w:ascii="Century Gothic" w:hAnsi="Century Gothic"/>
          <w:bCs/>
          <w:color w:val="002060"/>
          <w:sz w:val="24"/>
          <w:szCs w:val="24"/>
        </w:rPr>
        <w:t xml:space="preserve"> (</w:t>
      </w:r>
      <w:r w:rsidR="00DC4871">
        <w:rPr>
          <w:rFonts w:ascii="Century Gothic" w:hAnsi="Century Gothic"/>
          <w:bCs/>
          <w:color w:val="002060"/>
          <w:sz w:val="24"/>
          <w:szCs w:val="24"/>
        </w:rPr>
        <w:t xml:space="preserve">£482,845 </w:t>
      </w:r>
      <w:r w:rsidR="00A76C45">
        <w:rPr>
          <w:rFonts w:ascii="Century Gothic" w:hAnsi="Century Gothic"/>
          <w:bCs/>
          <w:color w:val="002060"/>
          <w:sz w:val="24"/>
          <w:szCs w:val="24"/>
        </w:rPr>
        <w:t>as at 31/03/21</w:t>
      </w:r>
      <w:r w:rsidR="00915EF7" w:rsidRPr="00900D60">
        <w:rPr>
          <w:rFonts w:ascii="Century Gothic" w:hAnsi="Century Gothic"/>
          <w:bCs/>
          <w:color w:val="002060"/>
          <w:sz w:val="24"/>
          <w:szCs w:val="24"/>
        </w:rPr>
        <w:t>).</w:t>
      </w:r>
    </w:p>
    <w:p w14:paraId="176145D9" w14:textId="77777777" w:rsidR="00915EF7" w:rsidRPr="004B03C0" w:rsidRDefault="00915EF7" w:rsidP="006B7C08">
      <w:pPr>
        <w:spacing w:line="360" w:lineRule="auto"/>
        <w:rPr>
          <w:rFonts w:ascii="Century Gothic" w:hAnsi="Century Gothic"/>
          <w:bCs/>
          <w:color w:val="002060"/>
          <w:sz w:val="24"/>
          <w:szCs w:val="24"/>
        </w:rPr>
      </w:pPr>
      <w:r w:rsidRPr="004B03C0">
        <w:rPr>
          <w:rFonts w:ascii="Century Gothic" w:hAnsi="Century Gothic"/>
          <w:b/>
          <w:bCs/>
          <w:color w:val="002060"/>
          <w:sz w:val="24"/>
          <w:szCs w:val="24"/>
        </w:rPr>
        <w:t>Sources of Income</w:t>
      </w:r>
      <w:r w:rsidR="007773B4">
        <w:rPr>
          <w:rFonts w:ascii="Century Gothic" w:hAnsi="Century Gothic"/>
          <w:b/>
          <w:bCs/>
          <w:color w:val="002060"/>
          <w:sz w:val="24"/>
          <w:szCs w:val="24"/>
        </w:rPr>
        <w:t xml:space="preserve"> (</w:t>
      </w:r>
      <w:r w:rsidR="00DE6A8B">
        <w:rPr>
          <w:rFonts w:ascii="Century Gothic" w:hAnsi="Century Gothic"/>
          <w:b/>
          <w:bCs/>
          <w:color w:val="002060"/>
          <w:sz w:val="24"/>
          <w:szCs w:val="24"/>
        </w:rPr>
        <w:t>See Appendix One)</w:t>
      </w:r>
    </w:p>
    <w:p w14:paraId="09C16094" w14:textId="4DE0877E" w:rsidR="00915EF7" w:rsidRPr="006B7C08" w:rsidRDefault="00915EF7" w:rsidP="006B7C08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Fonts w:ascii="Century Gothic" w:hAnsi="Century Gothic"/>
          <w:bCs/>
          <w:color w:val="002060"/>
          <w:sz w:val="24"/>
          <w:szCs w:val="24"/>
        </w:rPr>
      </w:pPr>
      <w:r w:rsidRPr="006B7C08">
        <w:rPr>
          <w:rFonts w:ascii="Century Gothic" w:hAnsi="Century Gothic"/>
          <w:bCs/>
          <w:color w:val="002060"/>
          <w:sz w:val="24"/>
          <w:szCs w:val="24"/>
        </w:rPr>
        <w:t>Total income for the year was £</w:t>
      </w:r>
      <w:r w:rsidR="00112F26" w:rsidRPr="006B7C08">
        <w:rPr>
          <w:rFonts w:ascii="Century Gothic" w:hAnsi="Century Gothic"/>
          <w:bCs/>
          <w:color w:val="002060"/>
          <w:sz w:val="24"/>
          <w:szCs w:val="24"/>
        </w:rPr>
        <w:t>524,433</w:t>
      </w:r>
      <w:r w:rsidR="000757F0" w:rsidRPr="006B7C08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A76C45" w:rsidRPr="006B7C08">
        <w:rPr>
          <w:rFonts w:ascii="Century Gothic" w:hAnsi="Century Gothic"/>
          <w:bCs/>
          <w:color w:val="002060"/>
          <w:sz w:val="24"/>
          <w:szCs w:val="24"/>
        </w:rPr>
        <w:t xml:space="preserve">(£449,077 </w:t>
      </w:r>
      <w:r w:rsidR="00F70586" w:rsidRPr="006B7C08">
        <w:rPr>
          <w:rFonts w:ascii="Century Gothic" w:hAnsi="Century Gothic"/>
          <w:bCs/>
          <w:color w:val="002060"/>
          <w:sz w:val="24"/>
          <w:szCs w:val="24"/>
        </w:rPr>
        <w:t>in 202</w:t>
      </w:r>
      <w:r w:rsidR="00A76C45" w:rsidRPr="006B7C08">
        <w:rPr>
          <w:rFonts w:ascii="Century Gothic" w:hAnsi="Century Gothic"/>
          <w:bCs/>
          <w:color w:val="002060"/>
          <w:sz w:val="24"/>
          <w:szCs w:val="24"/>
        </w:rPr>
        <w:t>1</w:t>
      </w:r>
      <w:r w:rsidR="00B126F9" w:rsidRPr="006B7C08">
        <w:rPr>
          <w:rFonts w:ascii="Century Gothic" w:hAnsi="Century Gothic"/>
          <w:bCs/>
          <w:color w:val="002060"/>
          <w:sz w:val="24"/>
          <w:szCs w:val="24"/>
        </w:rPr>
        <w:t>), a</w:t>
      </w:r>
      <w:r w:rsidR="00112F26" w:rsidRPr="006B7C08">
        <w:rPr>
          <w:rFonts w:ascii="Century Gothic" w:hAnsi="Century Gothic"/>
          <w:bCs/>
          <w:color w:val="002060"/>
          <w:sz w:val="24"/>
          <w:szCs w:val="24"/>
        </w:rPr>
        <w:t>n in</w:t>
      </w:r>
      <w:r w:rsidR="00F70586" w:rsidRPr="006B7C08">
        <w:rPr>
          <w:rFonts w:ascii="Century Gothic" w:hAnsi="Century Gothic"/>
          <w:bCs/>
          <w:color w:val="002060"/>
          <w:sz w:val="24"/>
          <w:szCs w:val="24"/>
        </w:rPr>
        <w:t>crease of £</w:t>
      </w:r>
      <w:r w:rsidR="00112F26" w:rsidRPr="006B7C08">
        <w:rPr>
          <w:rFonts w:ascii="Century Gothic" w:hAnsi="Century Gothic"/>
          <w:bCs/>
          <w:color w:val="002060"/>
          <w:sz w:val="24"/>
          <w:szCs w:val="24"/>
        </w:rPr>
        <w:t>75,356</w:t>
      </w:r>
      <w:r w:rsidRPr="006B7C08">
        <w:rPr>
          <w:rFonts w:ascii="Century Gothic" w:hAnsi="Century Gothic"/>
          <w:bCs/>
          <w:color w:val="002060"/>
          <w:sz w:val="24"/>
          <w:szCs w:val="24"/>
        </w:rPr>
        <w:t xml:space="preserve"> over the period. </w:t>
      </w:r>
    </w:p>
    <w:p w14:paraId="46057E3B" w14:textId="7DB25E9C" w:rsidR="00F42B3B" w:rsidRPr="006B7C08" w:rsidRDefault="00F42B3B" w:rsidP="006B7C08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Fonts w:ascii="Century Gothic" w:hAnsi="Century Gothic"/>
          <w:bCs/>
          <w:color w:val="002060"/>
          <w:sz w:val="24"/>
          <w:szCs w:val="24"/>
        </w:rPr>
      </w:pPr>
      <w:r w:rsidRPr="006B7C08">
        <w:rPr>
          <w:rFonts w:ascii="Century Gothic" w:hAnsi="Century Gothic"/>
          <w:bCs/>
          <w:color w:val="002060"/>
          <w:sz w:val="24"/>
          <w:szCs w:val="24"/>
        </w:rPr>
        <w:t xml:space="preserve">Donations </w:t>
      </w:r>
      <w:r w:rsidR="00C6055B" w:rsidRPr="006B7C08">
        <w:rPr>
          <w:rFonts w:ascii="Century Gothic" w:hAnsi="Century Gothic"/>
          <w:bCs/>
          <w:color w:val="002060"/>
          <w:sz w:val="24"/>
          <w:szCs w:val="24"/>
        </w:rPr>
        <w:t>and l</w:t>
      </w:r>
      <w:r w:rsidRPr="006B7C08">
        <w:rPr>
          <w:rFonts w:ascii="Century Gothic" w:hAnsi="Century Gothic"/>
          <w:bCs/>
          <w:color w:val="002060"/>
          <w:sz w:val="24"/>
          <w:szCs w:val="24"/>
        </w:rPr>
        <w:t>ega</w:t>
      </w:r>
      <w:r w:rsidR="00A76C45" w:rsidRPr="006B7C08">
        <w:rPr>
          <w:rFonts w:ascii="Century Gothic" w:hAnsi="Century Gothic"/>
          <w:bCs/>
          <w:color w:val="002060"/>
          <w:sz w:val="24"/>
          <w:szCs w:val="24"/>
        </w:rPr>
        <w:t xml:space="preserve">cies totalled </w:t>
      </w:r>
      <w:r w:rsidR="00112F26" w:rsidRPr="006B7C08">
        <w:rPr>
          <w:rFonts w:ascii="Century Gothic" w:hAnsi="Century Gothic"/>
          <w:bCs/>
          <w:color w:val="002060"/>
          <w:sz w:val="24"/>
          <w:szCs w:val="24"/>
        </w:rPr>
        <w:t>£493,641</w:t>
      </w:r>
      <w:r w:rsidR="00A76C45" w:rsidRPr="006B7C08">
        <w:rPr>
          <w:rFonts w:ascii="Century Gothic" w:hAnsi="Century Gothic"/>
          <w:bCs/>
          <w:color w:val="002060"/>
          <w:sz w:val="24"/>
          <w:szCs w:val="24"/>
        </w:rPr>
        <w:t xml:space="preserve"> (£</w:t>
      </w:r>
      <w:r w:rsidR="006734A3" w:rsidRPr="006B7C08">
        <w:rPr>
          <w:rFonts w:ascii="Century Gothic" w:hAnsi="Century Gothic"/>
          <w:bCs/>
          <w:color w:val="002060"/>
          <w:sz w:val="24"/>
          <w:szCs w:val="24"/>
        </w:rPr>
        <w:t>418,132 in</w:t>
      </w:r>
      <w:r w:rsidRPr="006B7C08">
        <w:rPr>
          <w:rFonts w:ascii="Century Gothic" w:hAnsi="Century Gothic"/>
          <w:bCs/>
          <w:color w:val="002060"/>
          <w:sz w:val="24"/>
          <w:szCs w:val="24"/>
        </w:rPr>
        <w:t xml:space="preserve"> 20</w:t>
      </w:r>
      <w:r w:rsidR="006734A3" w:rsidRPr="006B7C08">
        <w:rPr>
          <w:rFonts w:ascii="Century Gothic" w:hAnsi="Century Gothic"/>
          <w:bCs/>
          <w:color w:val="002060"/>
          <w:sz w:val="24"/>
          <w:szCs w:val="24"/>
        </w:rPr>
        <w:t>21</w:t>
      </w:r>
      <w:r w:rsidRPr="006B7C08">
        <w:rPr>
          <w:rFonts w:ascii="Century Gothic" w:hAnsi="Century Gothic"/>
          <w:bCs/>
          <w:color w:val="002060"/>
          <w:sz w:val="24"/>
          <w:szCs w:val="24"/>
        </w:rPr>
        <w:t>), a</w:t>
      </w:r>
      <w:r w:rsidR="00112F26" w:rsidRPr="006B7C08">
        <w:rPr>
          <w:rFonts w:ascii="Century Gothic" w:hAnsi="Century Gothic"/>
          <w:bCs/>
          <w:color w:val="002060"/>
          <w:sz w:val="24"/>
          <w:szCs w:val="24"/>
        </w:rPr>
        <w:t>n in</w:t>
      </w:r>
      <w:r w:rsidRPr="006B7C08">
        <w:rPr>
          <w:rFonts w:ascii="Century Gothic" w:hAnsi="Century Gothic"/>
          <w:bCs/>
          <w:color w:val="002060"/>
          <w:sz w:val="24"/>
          <w:szCs w:val="24"/>
        </w:rPr>
        <w:t xml:space="preserve">crease of </w:t>
      </w:r>
      <w:r w:rsidR="00112F26" w:rsidRPr="006B7C08">
        <w:rPr>
          <w:rFonts w:ascii="Century Gothic" w:hAnsi="Century Gothic"/>
          <w:bCs/>
          <w:color w:val="002060"/>
          <w:sz w:val="24"/>
          <w:szCs w:val="24"/>
        </w:rPr>
        <w:t>£75,509</w:t>
      </w:r>
      <w:r w:rsidRPr="006B7C08">
        <w:rPr>
          <w:rFonts w:ascii="Century Gothic" w:hAnsi="Century Gothic"/>
          <w:bCs/>
          <w:color w:val="002060"/>
          <w:sz w:val="24"/>
          <w:szCs w:val="24"/>
        </w:rPr>
        <w:t xml:space="preserve"> over the period</w:t>
      </w:r>
      <w:r w:rsidR="00174820" w:rsidRPr="006B7C08">
        <w:rPr>
          <w:rFonts w:ascii="Century Gothic" w:hAnsi="Century Gothic"/>
          <w:bCs/>
          <w:color w:val="002060"/>
          <w:sz w:val="24"/>
          <w:szCs w:val="24"/>
        </w:rPr>
        <w:t>. This includes donations and gifts, grant income and donated goods and services.</w:t>
      </w:r>
    </w:p>
    <w:p w14:paraId="2A3D4836" w14:textId="124B6CC9" w:rsidR="00174820" w:rsidRPr="006B7C08" w:rsidRDefault="00174820" w:rsidP="006B7C08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Fonts w:ascii="Century Gothic" w:hAnsi="Century Gothic"/>
          <w:bCs/>
          <w:color w:val="002060"/>
          <w:sz w:val="24"/>
          <w:szCs w:val="24"/>
        </w:rPr>
      </w:pPr>
      <w:r w:rsidRPr="006B7C08">
        <w:rPr>
          <w:rFonts w:ascii="Century Gothic" w:hAnsi="Century Gothic"/>
          <w:bCs/>
          <w:color w:val="002060"/>
          <w:sz w:val="24"/>
          <w:szCs w:val="24"/>
        </w:rPr>
        <w:lastRenderedPageBreak/>
        <w:t>Donations and gifts were £</w:t>
      </w:r>
      <w:r w:rsidR="001A3F1A" w:rsidRPr="006B7C08">
        <w:rPr>
          <w:rFonts w:ascii="Century Gothic" w:hAnsi="Century Gothic"/>
          <w:bCs/>
          <w:color w:val="002060"/>
          <w:sz w:val="24"/>
          <w:szCs w:val="24"/>
        </w:rPr>
        <w:t>74,039</w:t>
      </w:r>
      <w:r w:rsidRPr="006B7C08">
        <w:rPr>
          <w:rFonts w:ascii="Century Gothic" w:hAnsi="Century Gothic"/>
          <w:bCs/>
          <w:color w:val="002060"/>
          <w:sz w:val="24"/>
          <w:szCs w:val="24"/>
        </w:rPr>
        <w:t>, a</w:t>
      </w:r>
      <w:r w:rsidR="001A3F1A" w:rsidRPr="006B7C08">
        <w:rPr>
          <w:rFonts w:ascii="Century Gothic" w:hAnsi="Century Gothic"/>
          <w:bCs/>
          <w:color w:val="002060"/>
          <w:sz w:val="24"/>
          <w:szCs w:val="24"/>
        </w:rPr>
        <w:t>n in</w:t>
      </w:r>
      <w:r w:rsidRPr="006B7C08">
        <w:rPr>
          <w:rFonts w:ascii="Century Gothic" w:hAnsi="Century Gothic"/>
          <w:bCs/>
          <w:color w:val="002060"/>
          <w:sz w:val="24"/>
          <w:szCs w:val="24"/>
        </w:rPr>
        <w:t xml:space="preserve">crease of </w:t>
      </w:r>
      <w:r w:rsidR="001A3F1A" w:rsidRPr="006B7C08">
        <w:rPr>
          <w:rFonts w:ascii="Century Gothic" w:hAnsi="Century Gothic"/>
          <w:bCs/>
          <w:color w:val="002060"/>
          <w:sz w:val="24"/>
          <w:szCs w:val="24"/>
        </w:rPr>
        <w:t>£32,060</w:t>
      </w:r>
      <w:r w:rsidRPr="006B7C08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1A3F1A" w:rsidRPr="006B7C08">
        <w:rPr>
          <w:rFonts w:ascii="Century Gothic" w:hAnsi="Century Gothic"/>
          <w:bCs/>
          <w:color w:val="002060"/>
          <w:sz w:val="24"/>
          <w:szCs w:val="24"/>
        </w:rPr>
        <w:t>compared to 2021</w:t>
      </w:r>
      <w:r w:rsidRPr="006B7C08">
        <w:rPr>
          <w:rFonts w:ascii="Century Gothic" w:hAnsi="Century Gothic"/>
          <w:bCs/>
          <w:color w:val="002060"/>
          <w:sz w:val="24"/>
          <w:szCs w:val="24"/>
        </w:rPr>
        <w:t>.</w:t>
      </w:r>
      <w:r w:rsidR="00033B57" w:rsidRPr="006B7C08">
        <w:rPr>
          <w:rFonts w:ascii="Century Gothic" w:hAnsi="Century Gothic"/>
          <w:bCs/>
          <w:color w:val="002060"/>
          <w:sz w:val="24"/>
          <w:szCs w:val="24"/>
        </w:rPr>
        <w:t xml:space="preserve"> The largest single donation </w:t>
      </w:r>
      <w:r w:rsidR="0081767F" w:rsidRPr="006B7C08">
        <w:rPr>
          <w:rFonts w:ascii="Century Gothic" w:hAnsi="Century Gothic"/>
          <w:bCs/>
          <w:color w:val="002060"/>
          <w:sz w:val="24"/>
          <w:szCs w:val="24"/>
        </w:rPr>
        <w:t xml:space="preserve">during the year </w:t>
      </w:r>
      <w:r w:rsidR="008E0F92" w:rsidRPr="006B7C08">
        <w:rPr>
          <w:rFonts w:ascii="Century Gothic" w:hAnsi="Century Gothic"/>
          <w:bCs/>
          <w:color w:val="002060"/>
          <w:sz w:val="24"/>
          <w:szCs w:val="24"/>
        </w:rPr>
        <w:t>was £50,000 which came from a</w:t>
      </w:r>
      <w:r w:rsidR="00CB0CF6" w:rsidRPr="006B7C08">
        <w:rPr>
          <w:rFonts w:ascii="Century Gothic" w:hAnsi="Century Gothic"/>
          <w:bCs/>
          <w:color w:val="002060"/>
          <w:sz w:val="24"/>
          <w:szCs w:val="24"/>
        </w:rPr>
        <w:t xml:space="preserve"> legacy from the late Edmund Wright to help children struggling at school</w:t>
      </w:r>
      <w:r w:rsidR="008E0F92" w:rsidRPr="006B7C08">
        <w:rPr>
          <w:rFonts w:ascii="Century Gothic" w:hAnsi="Century Gothic"/>
          <w:bCs/>
          <w:color w:val="002060"/>
          <w:sz w:val="24"/>
          <w:szCs w:val="24"/>
        </w:rPr>
        <w:t>.</w:t>
      </w:r>
    </w:p>
    <w:p w14:paraId="2F0EDDF4" w14:textId="2EF28356" w:rsidR="00E02C73" w:rsidRPr="006B7C08" w:rsidRDefault="00B126F9" w:rsidP="006B7C08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Fonts w:ascii="Century Gothic" w:hAnsi="Century Gothic"/>
          <w:bCs/>
          <w:color w:val="002060"/>
          <w:sz w:val="24"/>
          <w:szCs w:val="24"/>
        </w:rPr>
      </w:pPr>
      <w:r w:rsidRPr="006B7C08">
        <w:rPr>
          <w:rFonts w:ascii="Century Gothic" w:hAnsi="Century Gothic"/>
          <w:bCs/>
          <w:color w:val="002060"/>
          <w:sz w:val="24"/>
          <w:szCs w:val="24"/>
        </w:rPr>
        <w:t>Gr</w:t>
      </w:r>
      <w:r w:rsidR="008A38B3" w:rsidRPr="006B7C08">
        <w:rPr>
          <w:rFonts w:ascii="Century Gothic" w:hAnsi="Century Gothic"/>
          <w:bCs/>
          <w:color w:val="002060"/>
          <w:sz w:val="24"/>
          <w:szCs w:val="24"/>
        </w:rPr>
        <w:t>ant income totalled £</w:t>
      </w:r>
      <w:r w:rsidR="001A3F1A" w:rsidRPr="006B7C08">
        <w:rPr>
          <w:rFonts w:ascii="Century Gothic" w:hAnsi="Century Gothic"/>
          <w:bCs/>
          <w:color w:val="002060"/>
          <w:sz w:val="24"/>
          <w:szCs w:val="24"/>
        </w:rPr>
        <w:t>419,602</w:t>
      </w:r>
      <w:r w:rsidR="00A76C45" w:rsidRPr="006B7C08">
        <w:rPr>
          <w:rFonts w:ascii="Century Gothic" w:hAnsi="Century Gothic"/>
          <w:bCs/>
          <w:color w:val="002060"/>
          <w:sz w:val="24"/>
          <w:szCs w:val="24"/>
        </w:rPr>
        <w:t xml:space="preserve"> (£351,</w:t>
      </w:r>
      <w:r w:rsidR="00842D1A" w:rsidRPr="006B7C08">
        <w:rPr>
          <w:rFonts w:ascii="Century Gothic" w:hAnsi="Century Gothic"/>
          <w:bCs/>
          <w:color w:val="002060"/>
          <w:sz w:val="24"/>
          <w:szCs w:val="24"/>
        </w:rPr>
        <w:t>1</w:t>
      </w:r>
      <w:r w:rsidR="00A76C45" w:rsidRPr="006B7C08">
        <w:rPr>
          <w:rFonts w:ascii="Century Gothic" w:hAnsi="Century Gothic"/>
          <w:bCs/>
          <w:color w:val="002060"/>
          <w:sz w:val="24"/>
          <w:szCs w:val="24"/>
        </w:rPr>
        <w:t xml:space="preserve">04 </w:t>
      </w:r>
      <w:r w:rsidR="002314DD" w:rsidRPr="006B7C08">
        <w:rPr>
          <w:rFonts w:ascii="Century Gothic" w:hAnsi="Century Gothic"/>
          <w:bCs/>
          <w:color w:val="002060"/>
          <w:sz w:val="24"/>
          <w:szCs w:val="24"/>
        </w:rPr>
        <w:t xml:space="preserve">in </w:t>
      </w:r>
      <w:r w:rsidR="00A76C45" w:rsidRPr="006B7C08">
        <w:rPr>
          <w:rFonts w:ascii="Century Gothic" w:hAnsi="Century Gothic"/>
          <w:bCs/>
          <w:color w:val="002060"/>
          <w:sz w:val="24"/>
          <w:szCs w:val="24"/>
        </w:rPr>
        <w:t>2021</w:t>
      </w:r>
      <w:r w:rsidR="00033B57" w:rsidRPr="006B7C08">
        <w:rPr>
          <w:rFonts w:ascii="Century Gothic" w:hAnsi="Century Gothic"/>
          <w:bCs/>
          <w:color w:val="002060"/>
          <w:sz w:val="24"/>
          <w:szCs w:val="24"/>
        </w:rPr>
        <w:t>), a</w:t>
      </w:r>
      <w:r w:rsidR="001A3F1A" w:rsidRPr="006B7C08">
        <w:rPr>
          <w:rFonts w:ascii="Century Gothic" w:hAnsi="Century Gothic"/>
          <w:bCs/>
          <w:color w:val="002060"/>
          <w:sz w:val="24"/>
          <w:szCs w:val="24"/>
        </w:rPr>
        <w:t>n in</w:t>
      </w:r>
      <w:r w:rsidR="00D62EBB" w:rsidRPr="006B7C08">
        <w:rPr>
          <w:rFonts w:ascii="Century Gothic" w:hAnsi="Century Gothic"/>
          <w:bCs/>
          <w:color w:val="002060"/>
          <w:sz w:val="24"/>
          <w:szCs w:val="24"/>
        </w:rPr>
        <w:t>crease of £</w:t>
      </w:r>
      <w:r w:rsidR="001A3F1A" w:rsidRPr="006B7C08">
        <w:rPr>
          <w:rFonts w:ascii="Century Gothic" w:hAnsi="Century Gothic"/>
          <w:bCs/>
          <w:color w:val="002060"/>
          <w:sz w:val="24"/>
          <w:szCs w:val="24"/>
        </w:rPr>
        <w:t>68,498</w:t>
      </w:r>
      <w:r w:rsidR="00176D78" w:rsidRPr="006B7C08">
        <w:rPr>
          <w:rFonts w:ascii="Century Gothic" w:hAnsi="Century Gothic"/>
          <w:bCs/>
          <w:color w:val="002060"/>
          <w:sz w:val="24"/>
          <w:szCs w:val="24"/>
        </w:rPr>
        <w:t xml:space="preserve"> over the period</w:t>
      </w:r>
      <w:r w:rsidR="00033B57" w:rsidRPr="006B7C08">
        <w:rPr>
          <w:rFonts w:ascii="Century Gothic" w:hAnsi="Century Gothic"/>
          <w:bCs/>
          <w:color w:val="002060"/>
          <w:sz w:val="24"/>
          <w:szCs w:val="24"/>
        </w:rPr>
        <w:t xml:space="preserve">. There was </w:t>
      </w:r>
      <w:r w:rsidR="00D23F2B" w:rsidRPr="006B7C08">
        <w:rPr>
          <w:rFonts w:ascii="Century Gothic" w:hAnsi="Century Gothic"/>
          <w:bCs/>
          <w:color w:val="002060"/>
          <w:sz w:val="24"/>
          <w:szCs w:val="24"/>
        </w:rPr>
        <w:t xml:space="preserve">a </w:t>
      </w:r>
      <w:r w:rsidR="00975D18" w:rsidRPr="006B7C08">
        <w:rPr>
          <w:rFonts w:ascii="Century Gothic" w:hAnsi="Century Gothic"/>
          <w:bCs/>
          <w:color w:val="002060"/>
          <w:sz w:val="24"/>
          <w:szCs w:val="24"/>
        </w:rPr>
        <w:t xml:space="preserve">net </w:t>
      </w:r>
      <w:r w:rsidR="001A3F1A" w:rsidRPr="006B7C08">
        <w:rPr>
          <w:rFonts w:ascii="Century Gothic" w:hAnsi="Century Gothic"/>
          <w:bCs/>
          <w:color w:val="002060"/>
          <w:sz w:val="24"/>
          <w:szCs w:val="24"/>
        </w:rPr>
        <w:t>increase</w:t>
      </w:r>
      <w:r w:rsidR="00033B57" w:rsidRPr="006B7C08">
        <w:rPr>
          <w:rFonts w:ascii="Century Gothic" w:hAnsi="Century Gothic"/>
          <w:bCs/>
          <w:color w:val="002060"/>
          <w:sz w:val="24"/>
          <w:szCs w:val="24"/>
        </w:rPr>
        <w:t xml:space="preserve"> in the grant from the Scottish government </w:t>
      </w:r>
      <w:r w:rsidR="00975D18" w:rsidRPr="006B7C08">
        <w:rPr>
          <w:rFonts w:ascii="Century Gothic" w:hAnsi="Century Gothic"/>
          <w:bCs/>
          <w:color w:val="002060"/>
          <w:sz w:val="24"/>
          <w:szCs w:val="24"/>
        </w:rPr>
        <w:t xml:space="preserve">of </w:t>
      </w:r>
      <w:r w:rsidR="001A3F1A" w:rsidRPr="006B7C08">
        <w:rPr>
          <w:rFonts w:ascii="Century Gothic" w:hAnsi="Century Gothic"/>
          <w:bCs/>
          <w:color w:val="002060"/>
          <w:sz w:val="24"/>
          <w:szCs w:val="24"/>
        </w:rPr>
        <w:t>£15,000</w:t>
      </w:r>
      <w:r w:rsidR="00033B57" w:rsidRPr="006B7C08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975D18" w:rsidRPr="006B7C08">
        <w:rPr>
          <w:rFonts w:ascii="Century Gothic" w:hAnsi="Century Gothic"/>
          <w:bCs/>
          <w:color w:val="002060"/>
          <w:sz w:val="24"/>
          <w:szCs w:val="24"/>
        </w:rPr>
        <w:t xml:space="preserve">which </w:t>
      </w:r>
      <w:r w:rsidR="001A3F1A" w:rsidRPr="006B7C08">
        <w:rPr>
          <w:rFonts w:ascii="Century Gothic" w:hAnsi="Century Gothic"/>
          <w:bCs/>
          <w:color w:val="002060"/>
          <w:sz w:val="24"/>
          <w:szCs w:val="24"/>
        </w:rPr>
        <w:t>represents the amount</w:t>
      </w:r>
      <w:r w:rsidR="00975D18" w:rsidRPr="006B7C08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D23F2B" w:rsidRPr="006B7C08">
        <w:rPr>
          <w:rFonts w:ascii="Century Gothic" w:hAnsi="Century Gothic"/>
          <w:bCs/>
          <w:color w:val="002060"/>
          <w:sz w:val="24"/>
          <w:szCs w:val="24"/>
        </w:rPr>
        <w:t>with</w:t>
      </w:r>
      <w:r w:rsidR="009F2EAE" w:rsidRPr="006B7C08">
        <w:rPr>
          <w:rFonts w:ascii="Century Gothic" w:hAnsi="Century Gothic"/>
          <w:bCs/>
          <w:color w:val="002060"/>
          <w:sz w:val="24"/>
          <w:szCs w:val="24"/>
        </w:rPr>
        <w:t>h</w:t>
      </w:r>
      <w:r w:rsidR="00D23F2B" w:rsidRPr="006B7C08">
        <w:rPr>
          <w:rFonts w:ascii="Century Gothic" w:hAnsi="Century Gothic"/>
          <w:bCs/>
          <w:color w:val="002060"/>
          <w:sz w:val="24"/>
          <w:szCs w:val="24"/>
        </w:rPr>
        <w:t>eld</w:t>
      </w:r>
      <w:r w:rsidR="00975D18" w:rsidRPr="006B7C08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1A3F1A" w:rsidRPr="006B7C08">
        <w:rPr>
          <w:rFonts w:ascii="Century Gothic" w:hAnsi="Century Gothic"/>
          <w:bCs/>
          <w:color w:val="002060"/>
          <w:sz w:val="24"/>
          <w:szCs w:val="24"/>
        </w:rPr>
        <w:t xml:space="preserve">in 2021 </w:t>
      </w:r>
      <w:r w:rsidR="00975D18" w:rsidRPr="006B7C08">
        <w:rPr>
          <w:rFonts w:ascii="Century Gothic" w:hAnsi="Century Gothic"/>
          <w:bCs/>
          <w:color w:val="002060"/>
          <w:sz w:val="24"/>
          <w:szCs w:val="24"/>
        </w:rPr>
        <w:t xml:space="preserve">because of lower operating costs as a result of Covid.  </w:t>
      </w:r>
      <w:r w:rsidR="0081767F" w:rsidRPr="006B7C08">
        <w:rPr>
          <w:rFonts w:ascii="Century Gothic" w:hAnsi="Century Gothic"/>
          <w:bCs/>
          <w:color w:val="002060"/>
          <w:sz w:val="24"/>
          <w:szCs w:val="24"/>
        </w:rPr>
        <w:t>The main reason for the incr</w:t>
      </w:r>
      <w:r w:rsidR="00842D1A" w:rsidRPr="006B7C08">
        <w:rPr>
          <w:rFonts w:ascii="Century Gothic" w:hAnsi="Century Gothic"/>
          <w:bCs/>
          <w:color w:val="002060"/>
          <w:sz w:val="24"/>
          <w:szCs w:val="24"/>
        </w:rPr>
        <w:t xml:space="preserve">ease since last year is because </w:t>
      </w:r>
      <w:r w:rsidR="00CB0CF6" w:rsidRPr="006B7C08">
        <w:rPr>
          <w:rFonts w:ascii="Century Gothic" w:hAnsi="Century Gothic"/>
          <w:bCs/>
          <w:color w:val="002060"/>
          <w:sz w:val="24"/>
          <w:szCs w:val="24"/>
        </w:rPr>
        <w:t>of a generous</w:t>
      </w:r>
      <w:r w:rsidR="001A3F1A" w:rsidRPr="006B7C08">
        <w:rPr>
          <w:rFonts w:ascii="Century Gothic" w:hAnsi="Century Gothic"/>
          <w:bCs/>
          <w:color w:val="002060"/>
          <w:sz w:val="24"/>
          <w:szCs w:val="24"/>
        </w:rPr>
        <w:t xml:space="preserve"> donation from the </w:t>
      </w:r>
      <w:r w:rsidR="00CB0CF6" w:rsidRPr="006B7C08">
        <w:rPr>
          <w:rFonts w:ascii="Century Gothic" w:hAnsi="Century Gothic"/>
          <w:bCs/>
          <w:color w:val="002060"/>
          <w:sz w:val="24"/>
          <w:szCs w:val="24"/>
        </w:rPr>
        <w:t xml:space="preserve">Sean </w:t>
      </w:r>
      <w:r w:rsidR="001A3F1A" w:rsidRPr="006B7C08">
        <w:rPr>
          <w:rFonts w:ascii="Century Gothic" w:hAnsi="Century Gothic"/>
          <w:bCs/>
          <w:color w:val="002060"/>
          <w:sz w:val="24"/>
          <w:szCs w:val="24"/>
        </w:rPr>
        <w:t xml:space="preserve">Connery </w:t>
      </w:r>
      <w:r w:rsidR="00CB0CF6" w:rsidRPr="006B7C08">
        <w:rPr>
          <w:rFonts w:ascii="Century Gothic" w:hAnsi="Century Gothic"/>
          <w:bCs/>
          <w:color w:val="002060"/>
          <w:sz w:val="24"/>
          <w:szCs w:val="24"/>
        </w:rPr>
        <w:t>family philanthropy towards our Tutor Bursary Fund</w:t>
      </w:r>
      <w:r w:rsidR="0081767F" w:rsidRPr="006B7C08">
        <w:rPr>
          <w:rFonts w:ascii="Century Gothic" w:hAnsi="Century Gothic"/>
          <w:bCs/>
          <w:color w:val="002060"/>
          <w:sz w:val="24"/>
          <w:szCs w:val="24"/>
        </w:rPr>
        <w:t xml:space="preserve"> which amounted to £60,000</w:t>
      </w:r>
      <w:r w:rsidR="001A3F1A" w:rsidRPr="006B7C08">
        <w:rPr>
          <w:rFonts w:ascii="Century Gothic" w:hAnsi="Century Gothic"/>
          <w:bCs/>
          <w:color w:val="002060"/>
          <w:sz w:val="24"/>
          <w:szCs w:val="24"/>
        </w:rPr>
        <w:t>.</w:t>
      </w:r>
    </w:p>
    <w:p w14:paraId="64559F88" w14:textId="77777777" w:rsidR="00842D1A" w:rsidRPr="004B03C0" w:rsidRDefault="00842D1A" w:rsidP="006B7C08">
      <w:pPr>
        <w:pStyle w:val="ListParagraph"/>
        <w:spacing w:line="360" w:lineRule="auto"/>
        <w:ind w:left="0"/>
        <w:rPr>
          <w:rFonts w:ascii="Century Gothic" w:hAnsi="Century Gothic"/>
          <w:bCs/>
          <w:color w:val="002060"/>
          <w:sz w:val="24"/>
          <w:szCs w:val="24"/>
        </w:rPr>
      </w:pPr>
    </w:p>
    <w:p w14:paraId="6107C8BC" w14:textId="5D17486B" w:rsidR="00E74952" w:rsidRDefault="00712137" w:rsidP="00DC4871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bCs/>
          <w:color w:val="002060"/>
          <w:sz w:val="24"/>
          <w:szCs w:val="24"/>
        </w:rPr>
      </w:pPr>
      <w:r>
        <w:rPr>
          <w:rFonts w:ascii="Century Gothic" w:hAnsi="Century Gothic"/>
          <w:bCs/>
          <w:color w:val="002060"/>
          <w:sz w:val="24"/>
          <w:szCs w:val="24"/>
        </w:rPr>
        <w:t>Donated goods and services</w:t>
      </w:r>
      <w:r w:rsidR="00AB0C75">
        <w:rPr>
          <w:rFonts w:ascii="Century Gothic" w:hAnsi="Century Gothic"/>
          <w:bCs/>
          <w:color w:val="002060"/>
          <w:sz w:val="24"/>
          <w:szCs w:val="24"/>
        </w:rPr>
        <w:t xml:space="preserve"> in 2021</w:t>
      </w:r>
      <w:r>
        <w:rPr>
          <w:rFonts w:ascii="Century Gothic" w:hAnsi="Century Gothic"/>
          <w:bCs/>
          <w:color w:val="002060"/>
          <w:sz w:val="24"/>
          <w:szCs w:val="24"/>
        </w:rPr>
        <w:t xml:space="preserve"> amounted to £25,049 and represents the rent due for our head office</w:t>
      </w:r>
      <w:r w:rsidR="00C45608">
        <w:rPr>
          <w:rFonts w:ascii="Century Gothic" w:hAnsi="Century Gothic"/>
          <w:bCs/>
          <w:color w:val="002060"/>
          <w:sz w:val="24"/>
          <w:szCs w:val="24"/>
        </w:rPr>
        <w:t>,</w:t>
      </w:r>
      <w:r>
        <w:rPr>
          <w:rFonts w:ascii="Century Gothic" w:hAnsi="Century Gothic"/>
          <w:bCs/>
          <w:color w:val="002060"/>
          <w:sz w:val="24"/>
          <w:szCs w:val="24"/>
        </w:rPr>
        <w:t xml:space="preserve"> which </w:t>
      </w:r>
      <w:r w:rsidR="00842D1A">
        <w:rPr>
          <w:rFonts w:ascii="Century Gothic" w:hAnsi="Century Gothic"/>
          <w:bCs/>
          <w:color w:val="002060"/>
          <w:sz w:val="24"/>
          <w:szCs w:val="24"/>
        </w:rPr>
        <w:t>T</w:t>
      </w:r>
      <w:r>
        <w:rPr>
          <w:rFonts w:ascii="Century Gothic" w:hAnsi="Century Gothic"/>
          <w:bCs/>
          <w:color w:val="002060"/>
          <w:sz w:val="24"/>
          <w:szCs w:val="24"/>
        </w:rPr>
        <w:t xml:space="preserve">he Robertson </w:t>
      </w:r>
      <w:r w:rsidR="00B761A4">
        <w:rPr>
          <w:rFonts w:ascii="Century Gothic" w:hAnsi="Century Gothic"/>
          <w:bCs/>
          <w:color w:val="002060"/>
          <w:sz w:val="24"/>
          <w:szCs w:val="24"/>
        </w:rPr>
        <w:t xml:space="preserve">Trust </w:t>
      </w:r>
      <w:r w:rsidR="00DC4871">
        <w:rPr>
          <w:rFonts w:ascii="Century Gothic" w:hAnsi="Century Gothic"/>
          <w:bCs/>
          <w:color w:val="002060"/>
          <w:sz w:val="24"/>
          <w:szCs w:val="24"/>
        </w:rPr>
        <w:t xml:space="preserve">waived </w:t>
      </w:r>
      <w:r w:rsidR="00B761A4">
        <w:rPr>
          <w:rFonts w:ascii="Century Gothic" w:hAnsi="Century Gothic"/>
          <w:bCs/>
          <w:color w:val="002060"/>
          <w:sz w:val="24"/>
          <w:szCs w:val="24"/>
        </w:rPr>
        <w:t>during the Covid lockdown period.</w:t>
      </w:r>
      <w:r w:rsidR="0081767F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CB0CF6">
        <w:rPr>
          <w:rFonts w:ascii="Century Gothic" w:hAnsi="Century Gothic"/>
          <w:bCs/>
          <w:color w:val="002060"/>
          <w:sz w:val="24"/>
          <w:szCs w:val="24"/>
        </w:rPr>
        <w:t>There was no such waiver in 2022.</w:t>
      </w:r>
    </w:p>
    <w:p w14:paraId="0416F594" w14:textId="6F2EAE5C" w:rsidR="0040478E" w:rsidRPr="004B03C0" w:rsidRDefault="0040478E" w:rsidP="006B7C08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Century Gothic" w:hAnsi="Century Gothic"/>
          <w:bCs/>
          <w:color w:val="002060"/>
          <w:sz w:val="24"/>
          <w:szCs w:val="24"/>
        </w:rPr>
      </w:pPr>
      <w:r>
        <w:rPr>
          <w:rFonts w:ascii="Century Gothic" w:hAnsi="Century Gothic"/>
          <w:bCs/>
          <w:color w:val="002060"/>
          <w:sz w:val="24"/>
          <w:szCs w:val="24"/>
        </w:rPr>
        <w:t>Income from charitable activit</w:t>
      </w:r>
      <w:r w:rsidR="00A76C45">
        <w:rPr>
          <w:rFonts w:ascii="Century Gothic" w:hAnsi="Century Gothic"/>
          <w:bCs/>
          <w:color w:val="002060"/>
          <w:sz w:val="24"/>
          <w:szCs w:val="24"/>
        </w:rPr>
        <w:t xml:space="preserve">ies amounted </w:t>
      </w:r>
      <w:r w:rsidR="00A76C45" w:rsidRPr="00842D1A">
        <w:rPr>
          <w:rFonts w:ascii="Century Gothic" w:hAnsi="Century Gothic"/>
          <w:bCs/>
          <w:color w:val="002060"/>
          <w:sz w:val="24"/>
          <w:szCs w:val="24"/>
        </w:rPr>
        <w:t xml:space="preserve">to </w:t>
      </w:r>
      <w:r w:rsidR="00AB0C75" w:rsidRPr="00842D1A">
        <w:rPr>
          <w:rFonts w:ascii="Century Gothic" w:hAnsi="Century Gothic"/>
          <w:bCs/>
          <w:color w:val="002060"/>
          <w:sz w:val="24"/>
          <w:szCs w:val="24"/>
        </w:rPr>
        <w:t>£29,481</w:t>
      </w:r>
      <w:r w:rsidR="00A76C45" w:rsidRPr="00842D1A">
        <w:rPr>
          <w:rFonts w:ascii="Century Gothic" w:hAnsi="Century Gothic"/>
          <w:bCs/>
          <w:color w:val="002060"/>
          <w:sz w:val="24"/>
          <w:szCs w:val="24"/>
        </w:rPr>
        <w:t xml:space="preserve"> (£</w:t>
      </w:r>
      <w:r w:rsidR="00DC4871">
        <w:rPr>
          <w:rFonts w:ascii="Century Gothic" w:hAnsi="Century Gothic"/>
          <w:bCs/>
          <w:color w:val="002060"/>
          <w:sz w:val="24"/>
          <w:szCs w:val="24"/>
        </w:rPr>
        <w:t xml:space="preserve">28,634 </w:t>
      </w:r>
      <w:r w:rsidR="00A76C45">
        <w:rPr>
          <w:rFonts w:ascii="Century Gothic" w:hAnsi="Century Gothic"/>
          <w:bCs/>
          <w:color w:val="002060"/>
          <w:sz w:val="24"/>
          <w:szCs w:val="24"/>
        </w:rPr>
        <w:t>in 2021</w:t>
      </w:r>
      <w:r>
        <w:rPr>
          <w:rFonts w:ascii="Century Gothic" w:hAnsi="Century Gothic"/>
          <w:bCs/>
          <w:color w:val="002060"/>
          <w:sz w:val="24"/>
          <w:szCs w:val="24"/>
        </w:rPr>
        <w:t>)</w:t>
      </w:r>
      <w:r w:rsidR="00B761A4">
        <w:rPr>
          <w:rFonts w:ascii="Century Gothic" w:hAnsi="Century Gothic"/>
          <w:bCs/>
          <w:color w:val="002060"/>
          <w:sz w:val="24"/>
          <w:szCs w:val="24"/>
        </w:rPr>
        <w:t>,</w:t>
      </w:r>
      <w:r w:rsidR="00AB0C75">
        <w:rPr>
          <w:rFonts w:ascii="Century Gothic" w:hAnsi="Century Gothic"/>
          <w:bCs/>
          <w:color w:val="002060"/>
          <w:sz w:val="24"/>
          <w:szCs w:val="24"/>
        </w:rPr>
        <w:t xml:space="preserve"> up by </w:t>
      </w:r>
      <w:r w:rsidR="00DC4871">
        <w:rPr>
          <w:rFonts w:ascii="Century Gothic" w:hAnsi="Century Gothic"/>
          <w:bCs/>
          <w:color w:val="002060"/>
          <w:sz w:val="24"/>
          <w:szCs w:val="24"/>
        </w:rPr>
        <w:t>£</w:t>
      </w:r>
      <w:r w:rsidR="00AB0C75">
        <w:rPr>
          <w:rFonts w:ascii="Century Gothic" w:hAnsi="Century Gothic"/>
          <w:bCs/>
          <w:color w:val="002060"/>
          <w:sz w:val="24"/>
          <w:szCs w:val="24"/>
        </w:rPr>
        <w:t xml:space="preserve">847. The </w:t>
      </w:r>
      <w:r w:rsidR="002B720F">
        <w:rPr>
          <w:rFonts w:ascii="Century Gothic" w:hAnsi="Century Gothic"/>
          <w:bCs/>
          <w:color w:val="002060"/>
          <w:sz w:val="24"/>
          <w:szCs w:val="24"/>
        </w:rPr>
        <w:t xml:space="preserve">Education </w:t>
      </w:r>
      <w:r w:rsidR="00D23F2B">
        <w:rPr>
          <w:rFonts w:ascii="Century Gothic" w:hAnsi="Century Gothic"/>
          <w:bCs/>
          <w:color w:val="002060"/>
          <w:sz w:val="24"/>
          <w:szCs w:val="24"/>
        </w:rPr>
        <w:t>C</w:t>
      </w:r>
      <w:r w:rsidR="00AB0C75">
        <w:rPr>
          <w:rFonts w:ascii="Century Gothic" w:hAnsi="Century Gothic"/>
          <w:bCs/>
          <w:color w:val="002060"/>
          <w:sz w:val="24"/>
          <w:szCs w:val="24"/>
        </w:rPr>
        <w:t>onference</w:t>
      </w:r>
      <w:r w:rsidR="00B761A4">
        <w:rPr>
          <w:rFonts w:ascii="Century Gothic" w:hAnsi="Century Gothic"/>
          <w:bCs/>
          <w:color w:val="002060"/>
          <w:sz w:val="24"/>
          <w:szCs w:val="24"/>
        </w:rPr>
        <w:t xml:space="preserve"> was</w:t>
      </w:r>
      <w:r w:rsidR="00AB0C75">
        <w:rPr>
          <w:rFonts w:ascii="Century Gothic" w:hAnsi="Century Gothic"/>
          <w:bCs/>
          <w:color w:val="002060"/>
          <w:sz w:val="24"/>
          <w:szCs w:val="24"/>
        </w:rPr>
        <w:t xml:space="preserve"> once again</w:t>
      </w:r>
      <w:r w:rsidR="00B761A4">
        <w:rPr>
          <w:rFonts w:ascii="Century Gothic" w:hAnsi="Century Gothic"/>
          <w:bCs/>
          <w:color w:val="002060"/>
          <w:sz w:val="24"/>
          <w:szCs w:val="24"/>
        </w:rPr>
        <w:t xml:space="preserve"> held on</w:t>
      </w:r>
      <w:r w:rsidR="002B720F">
        <w:rPr>
          <w:rFonts w:ascii="Century Gothic" w:hAnsi="Century Gothic"/>
          <w:bCs/>
          <w:color w:val="002060"/>
          <w:sz w:val="24"/>
          <w:szCs w:val="24"/>
        </w:rPr>
        <w:t>line due to Covid.</w:t>
      </w:r>
      <w:r w:rsidR="00ED6175">
        <w:rPr>
          <w:rFonts w:ascii="Century Gothic" w:hAnsi="Century Gothic"/>
          <w:bCs/>
          <w:color w:val="002060"/>
          <w:sz w:val="24"/>
          <w:szCs w:val="24"/>
        </w:rPr>
        <w:t xml:space="preserve">  </w:t>
      </w:r>
      <w:r w:rsidR="00AB0C75">
        <w:rPr>
          <w:rFonts w:ascii="Century Gothic" w:hAnsi="Century Gothic"/>
          <w:bCs/>
          <w:color w:val="002060"/>
          <w:sz w:val="24"/>
          <w:szCs w:val="24"/>
        </w:rPr>
        <w:t>Membership fees were £12,060 and this is down by £2,164 compared to last year</w:t>
      </w:r>
    </w:p>
    <w:p w14:paraId="1F13B956" w14:textId="79B55B89" w:rsidR="00E02C73" w:rsidRPr="004B03C0" w:rsidRDefault="00915EF7" w:rsidP="006B7C08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Century Gothic" w:hAnsi="Century Gothic"/>
          <w:bCs/>
          <w:color w:val="002060"/>
          <w:sz w:val="24"/>
          <w:szCs w:val="24"/>
        </w:rPr>
      </w:pPr>
      <w:r w:rsidRPr="004B03C0">
        <w:rPr>
          <w:rFonts w:ascii="Century Gothic" w:hAnsi="Century Gothic"/>
          <w:bCs/>
          <w:color w:val="002060"/>
          <w:sz w:val="24"/>
          <w:szCs w:val="24"/>
        </w:rPr>
        <w:t xml:space="preserve">Investment Income of </w:t>
      </w:r>
      <w:r w:rsidR="00AB0C75" w:rsidRPr="00A76258">
        <w:rPr>
          <w:rFonts w:ascii="Century Gothic" w:hAnsi="Century Gothic"/>
          <w:bCs/>
          <w:color w:val="002060"/>
          <w:sz w:val="24"/>
          <w:szCs w:val="24"/>
        </w:rPr>
        <w:t>£1,311</w:t>
      </w:r>
      <w:r w:rsidR="002C6BD2" w:rsidRPr="00A76258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2C6BD2">
        <w:rPr>
          <w:rFonts w:ascii="Century Gothic" w:hAnsi="Century Gothic"/>
          <w:bCs/>
          <w:color w:val="002060"/>
          <w:sz w:val="24"/>
          <w:szCs w:val="24"/>
        </w:rPr>
        <w:t>(</w:t>
      </w:r>
      <w:r w:rsidR="00363E94">
        <w:rPr>
          <w:rFonts w:ascii="Century Gothic" w:hAnsi="Century Gothic"/>
          <w:bCs/>
          <w:color w:val="002060"/>
          <w:sz w:val="24"/>
          <w:szCs w:val="24"/>
        </w:rPr>
        <w:t xml:space="preserve">£2,311 </w:t>
      </w:r>
      <w:r w:rsidR="002C6BD2" w:rsidRPr="004B03C0">
        <w:rPr>
          <w:rFonts w:ascii="Century Gothic" w:hAnsi="Century Gothic"/>
          <w:bCs/>
          <w:color w:val="002060"/>
          <w:sz w:val="24"/>
          <w:szCs w:val="24"/>
        </w:rPr>
        <w:t>in 20</w:t>
      </w:r>
      <w:r w:rsidR="00363E94">
        <w:rPr>
          <w:rFonts w:ascii="Century Gothic" w:hAnsi="Century Gothic"/>
          <w:bCs/>
          <w:color w:val="002060"/>
          <w:sz w:val="24"/>
          <w:szCs w:val="24"/>
        </w:rPr>
        <w:t>21</w:t>
      </w:r>
      <w:r w:rsidR="002C6BD2" w:rsidRPr="004B03C0">
        <w:rPr>
          <w:rFonts w:ascii="Century Gothic" w:hAnsi="Century Gothic"/>
          <w:bCs/>
          <w:color w:val="002060"/>
          <w:sz w:val="24"/>
          <w:szCs w:val="24"/>
        </w:rPr>
        <w:t>)</w:t>
      </w:r>
      <w:r w:rsidRPr="004B03C0">
        <w:rPr>
          <w:rFonts w:ascii="Century Gothic" w:hAnsi="Century Gothic"/>
          <w:bCs/>
          <w:color w:val="002060"/>
          <w:sz w:val="24"/>
          <w:szCs w:val="24"/>
        </w:rPr>
        <w:t xml:space="preserve"> was received during the year, represe</w:t>
      </w:r>
      <w:r w:rsidR="002314DD" w:rsidRPr="004B03C0">
        <w:rPr>
          <w:rFonts w:ascii="Century Gothic" w:hAnsi="Century Gothic"/>
          <w:bCs/>
          <w:color w:val="002060"/>
          <w:sz w:val="24"/>
          <w:szCs w:val="24"/>
        </w:rPr>
        <w:t xml:space="preserve">nting interest </w:t>
      </w:r>
      <w:r w:rsidR="00DA07F2" w:rsidRPr="004B03C0">
        <w:rPr>
          <w:rFonts w:ascii="Century Gothic" w:hAnsi="Century Gothic"/>
          <w:bCs/>
          <w:color w:val="002060"/>
          <w:sz w:val="24"/>
          <w:szCs w:val="24"/>
        </w:rPr>
        <w:t>on bank deposits.</w:t>
      </w:r>
    </w:p>
    <w:p w14:paraId="52B9C8A5" w14:textId="77777777" w:rsidR="00915EF7" w:rsidRPr="004B03C0" w:rsidRDefault="00915EF7" w:rsidP="006B7C08">
      <w:pPr>
        <w:spacing w:line="360" w:lineRule="auto"/>
        <w:rPr>
          <w:rFonts w:ascii="Century Gothic" w:hAnsi="Century Gothic"/>
          <w:b/>
          <w:bCs/>
          <w:color w:val="002060"/>
          <w:sz w:val="24"/>
          <w:szCs w:val="24"/>
        </w:rPr>
      </w:pPr>
      <w:r w:rsidRPr="004B03C0">
        <w:rPr>
          <w:rFonts w:ascii="Century Gothic" w:hAnsi="Century Gothic"/>
          <w:b/>
          <w:bCs/>
          <w:color w:val="002060"/>
          <w:sz w:val="24"/>
          <w:szCs w:val="24"/>
        </w:rPr>
        <w:t>Expenditure (See Appendix One)</w:t>
      </w:r>
    </w:p>
    <w:p w14:paraId="3C5348D2" w14:textId="268DF186" w:rsidR="00915EF7" w:rsidRPr="00A76258" w:rsidRDefault="00915EF7" w:rsidP="006B7C08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Century Gothic" w:hAnsi="Century Gothic"/>
          <w:bCs/>
          <w:color w:val="002060"/>
          <w:sz w:val="24"/>
          <w:szCs w:val="24"/>
        </w:rPr>
      </w:pPr>
      <w:r w:rsidRPr="00A76258">
        <w:rPr>
          <w:rFonts w:ascii="Century Gothic" w:hAnsi="Century Gothic"/>
          <w:bCs/>
          <w:color w:val="002060"/>
          <w:sz w:val="24"/>
          <w:szCs w:val="24"/>
        </w:rPr>
        <w:t>Total expenditure in the period amounted to £</w:t>
      </w:r>
      <w:r w:rsidR="00AC0AA5" w:rsidRPr="00A76258">
        <w:rPr>
          <w:rFonts w:ascii="Century Gothic" w:hAnsi="Century Gothic"/>
          <w:bCs/>
          <w:color w:val="002060"/>
          <w:sz w:val="24"/>
          <w:szCs w:val="24"/>
        </w:rPr>
        <w:t>487,496</w:t>
      </w:r>
      <w:r w:rsidR="00B7284F" w:rsidRPr="00A76258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Pr="00A76258">
        <w:rPr>
          <w:rFonts w:ascii="Century Gothic" w:hAnsi="Century Gothic"/>
          <w:bCs/>
          <w:color w:val="002060"/>
          <w:sz w:val="24"/>
          <w:szCs w:val="24"/>
        </w:rPr>
        <w:t>(</w:t>
      </w:r>
      <w:r w:rsidR="00363E94" w:rsidRPr="00A76258">
        <w:rPr>
          <w:rFonts w:ascii="Century Gothic" w:hAnsi="Century Gothic"/>
          <w:bCs/>
          <w:color w:val="002060"/>
          <w:sz w:val="24"/>
          <w:szCs w:val="24"/>
        </w:rPr>
        <w:t xml:space="preserve">£468,743 </w:t>
      </w:r>
      <w:r w:rsidR="00DA07F2" w:rsidRPr="00A76258">
        <w:rPr>
          <w:rFonts w:ascii="Century Gothic" w:hAnsi="Century Gothic"/>
          <w:bCs/>
          <w:color w:val="002060"/>
          <w:sz w:val="24"/>
          <w:szCs w:val="24"/>
        </w:rPr>
        <w:t xml:space="preserve">in </w:t>
      </w:r>
      <w:r w:rsidR="00363E94" w:rsidRPr="00A76258">
        <w:rPr>
          <w:rFonts w:ascii="Century Gothic" w:hAnsi="Century Gothic"/>
          <w:bCs/>
          <w:color w:val="002060"/>
          <w:sz w:val="24"/>
          <w:szCs w:val="24"/>
        </w:rPr>
        <w:t>2021</w:t>
      </w:r>
      <w:r w:rsidR="00341D26" w:rsidRPr="00A76258">
        <w:rPr>
          <w:rFonts w:ascii="Century Gothic" w:hAnsi="Century Gothic"/>
          <w:bCs/>
          <w:color w:val="002060"/>
          <w:sz w:val="24"/>
          <w:szCs w:val="24"/>
        </w:rPr>
        <w:t>) a</w:t>
      </w:r>
      <w:r w:rsidR="00AC0AA5" w:rsidRPr="00A76258">
        <w:rPr>
          <w:rFonts w:ascii="Century Gothic" w:hAnsi="Century Gothic"/>
          <w:bCs/>
          <w:color w:val="002060"/>
          <w:sz w:val="24"/>
          <w:szCs w:val="24"/>
        </w:rPr>
        <w:t>n increase</w:t>
      </w:r>
      <w:r w:rsidR="00E74952" w:rsidRPr="00A76258">
        <w:rPr>
          <w:rFonts w:ascii="Century Gothic" w:hAnsi="Century Gothic"/>
          <w:bCs/>
          <w:color w:val="002060"/>
          <w:sz w:val="24"/>
          <w:szCs w:val="24"/>
        </w:rPr>
        <w:t xml:space="preserve"> of </w:t>
      </w:r>
      <w:r w:rsidR="00D62EBB" w:rsidRPr="00A76258">
        <w:rPr>
          <w:rFonts w:ascii="Century Gothic" w:hAnsi="Century Gothic"/>
          <w:bCs/>
          <w:color w:val="002060"/>
          <w:sz w:val="24"/>
          <w:szCs w:val="24"/>
        </w:rPr>
        <w:t>£</w:t>
      </w:r>
      <w:r w:rsidR="00AC0AA5" w:rsidRPr="00A76258">
        <w:rPr>
          <w:rFonts w:ascii="Century Gothic" w:hAnsi="Century Gothic"/>
          <w:bCs/>
          <w:color w:val="002060"/>
          <w:sz w:val="24"/>
          <w:szCs w:val="24"/>
        </w:rPr>
        <w:t>18,753</w:t>
      </w:r>
      <w:r w:rsidR="00B7284F" w:rsidRPr="00A76258">
        <w:rPr>
          <w:rFonts w:ascii="Century Gothic" w:hAnsi="Century Gothic"/>
          <w:bCs/>
          <w:color w:val="002060"/>
          <w:sz w:val="24"/>
          <w:szCs w:val="24"/>
        </w:rPr>
        <w:t xml:space="preserve">. Staff costs at </w:t>
      </w:r>
      <w:r w:rsidR="00F70586" w:rsidRPr="00A76258">
        <w:rPr>
          <w:rFonts w:ascii="Century Gothic" w:hAnsi="Century Gothic"/>
          <w:bCs/>
          <w:color w:val="002060"/>
          <w:sz w:val="24"/>
          <w:szCs w:val="24"/>
        </w:rPr>
        <w:t>£</w:t>
      </w:r>
      <w:r w:rsidR="00AC0AA5" w:rsidRPr="00A76258">
        <w:rPr>
          <w:rFonts w:ascii="Century Gothic" w:hAnsi="Century Gothic"/>
          <w:bCs/>
          <w:color w:val="002060"/>
          <w:sz w:val="24"/>
          <w:szCs w:val="24"/>
        </w:rPr>
        <w:t>268,136</w:t>
      </w:r>
      <w:r w:rsidR="00B7284F" w:rsidRPr="00A76258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363E94" w:rsidRPr="00A76258">
        <w:rPr>
          <w:rFonts w:ascii="Century Gothic" w:hAnsi="Century Gothic"/>
          <w:bCs/>
          <w:color w:val="002060"/>
          <w:sz w:val="24"/>
          <w:szCs w:val="24"/>
        </w:rPr>
        <w:t xml:space="preserve">(£260,666 </w:t>
      </w:r>
      <w:r w:rsidR="00B7284F" w:rsidRPr="00A76258">
        <w:rPr>
          <w:rFonts w:ascii="Century Gothic" w:hAnsi="Century Gothic"/>
          <w:bCs/>
          <w:color w:val="002060"/>
          <w:sz w:val="24"/>
          <w:szCs w:val="24"/>
        </w:rPr>
        <w:t xml:space="preserve">in </w:t>
      </w:r>
      <w:r w:rsidR="00363E94" w:rsidRPr="00A76258">
        <w:rPr>
          <w:rFonts w:ascii="Century Gothic" w:hAnsi="Century Gothic"/>
          <w:bCs/>
          <w:color w:val="002060"/>
          <w:sz w:val="24"/>
          <w:szCs w:val="24"/>
        </w:rPr>
        <w:lastRenderedPageBreak/>
        <w:t>2021</w:t>
      </w:r>
      <w:r w:rsidR="00B7284F" w:rsidRPr="00A76258">
        <w:rPr>
          <w:rFonts w:ascii="Century Gothic" w:hAnsi="Century Gothic"/>
          <w:bCs/>
          <w:color w:val="002060"/>
          <w:sz w:val="24"/>
          <w:szCs w:val="24"/>
        </w:rPr>
        <w:t xml:space="preserve">) remain the largest item of expenditure representing </w:t>
      </w:r>
      <w:r w:rsidR="00AC0AA5" w:rsidRPr="00A76258">
        <w:rPr>
          <w:rFonts w:ascii="Century Gothic" w:hAnsi="Century Gothic"/>
          <w:bCs/>
          <w:color w:val="002060"/>
          <w:sz w:val="24"/>
          <w:szCs w:val="24"/>
        </w:rPr>
        <w:t>55</w:t>
      </w:r>
      <w:r w:rsidR="00B7284F" w:rsidRPr="00A76258">
        <w:rPr>
          <w:rFonts w:ascii="Century Gothic" w:hAnsi="Century Gothic"/>
          <w:bCs/>
          <w:color w:val="002060"/>
          <w:sz w:val="24"/>
          <w:szCs w:val="24"/>
        </w:rPr>
        <w:t>% of total costs</w:t>
      </w:r>
      <w:r w:rsidR="00712137" w:rsidRPr="00A76258">
        <w:rPr>
          <w:rFonts w:ascii="Century Gothic" w:hAnsi="Century Gothic"/>
          <w:bCs/>
          <w:color w:val="002060"/>
          <w:sz w:val="24"/>
          <w:szCs w:val="24"/>
        </w:rPr>
        <w:t>.</w:t>
      </w:r>
    </w:p>
    <w:p w14:paraId="6E851E0E" w14:textId="7D3D5FD3" w:rsidR="002B720F" w:rsidRPr="00ED6175" w:rsidRDefault="00915EF7" w:rsidP="006B7C08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Century Gothic" w:hAnsi="Century Gothic"/>
          <w:bCs/>
          <w:color w:val="002060"/>
          <w:sz w:val="24"/>
          <w:szCs w:val="24"/>
        </w:rPr>
      </w:pPr>
      <w:r w:rsidRPr="004B03C0">
        <w:rPr>
          <w:rFonts w:ascii="Century Gothic" w:hAnsi="Century Gothic"/>
          <w:bCs/>
          <w:color w:val="002060"/>
          <w:sz w:val="24"/>
          <w:szCs w:val="24"/>
        </w:rPr>
        <w:t>Premise</w:t>
      </w:r>
      <w:r w:rsidR="002321DB">
        <w:rPr>
          <w:rFonts w:ascii="Century Gothic" w:hAnsi="Century Gothic"/>
          <w:bCs/>
          <w:color w:val="002060"/>
          <w:sz w:val="24"/>
          <w:szCs w:val="24"/>
        </w:rPr>
        <w:t>s</w:t>
      </w:r>
      <w:r w:rsidR="0085197A">
        <w:rPr>
          <w:rFonts w:ascii="Century Gothic" w:hAnsi="Century Gothic"/>
          <w:bCs/>
          <w:color w:val="002060"/>
          <w:sz w:val="24"/>
          <w:szCs w:val="24"/>
        </w:rPr>
        <w:t xml:space="preserve"> and Office expenses</w:t>
      </w:r>
      <w:r w:rsidR="002321DB">
        <w:rPr>
          <w:rFonts w:ascii="Century Gothic" w:hAnsi="Century Gothic"/>
          <w:bCs/>
          <w:color w:val="002060"/>
          <w:sz w:val="24"/>
          <w:szCs w:val="24"/>
        </w:rPr>
        <w:t xml:space="preserve"> amounted </w:t>
      </w:r>
      <w:r w:rsidR="002321DB" w:rsidRPr="006C421B">
        <w:rPr>
          <w:rFonts w:ascii="Century Gothic" w:hAnsi="Century Gothic"/>
          <w:bCs/>
          <w:color w:val="002060"/>
          <w:sz w:val="24"/>
          <w:szCs w:val="24"/>
        </w:rPr>
        <w:t>to</w:t>
      </w:r>
      <w:r w:rsidR="002F706E" w:rsidRPr="006C421B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2F706E" w:rsidRPr="00A76258">
        <w:rPr>
          <w:rFonts w:ascii="Century Gothic" w:hAnsi="Century Gothic"/>
          <w:bCs/>
          <w:color w:val="002060"/>
          <w:sz w:val="24"/>
          <w:szCs w:val="24"/>
        </w:rPr>
        <w:t>£</w:t>
      </w:r>
      <w:r w:rsidR="00AC0AA5" w:rsidRPr="00A76258">
        <w:rPr>
          <w:rFonts w:ascii="Century Gothic" w:hAnsi="Century Gothic"/>
          <w:bCs/>
          <w:color w:val="002060"/>
          <w:sz w:val="24"/>
          <w:szCs w:val="24"/>
        </w:rPr>
        <w:t>52,499</w:t>
      </w:r>
      <w:r w:rsidRPr="00A76258">
        <w:rPr>
          <w:rFonts w:ascii="Century Gothic" w:hAnsi="Century Gothic"/>
          <w:bCs/>
          <w:color w:val="002060"/>
          <w:sz w:val="24"/>
          <w:szCs w:val="24"/>
        </w:rPr>
        <w:t xml:space="preserve"> (</w:t>
      </w:r>
      <w:r w:rsidR="00363E94" w:rsidRPr="00A76258">
        <w:rPr>
          <w:rFonts w:ascii="Century Gothic" w:hAnsi="Century Gothic"/>
          <w:bCs/>
          <w:color w:val="002060"/>
          <w:sz w:val="24"/>
          <w:szCs w:val="24"/>
        </w:rPr>
        <w:t>£</w:t>
      </w:r>
      <w:r w:rsidR="00363E94">
        <w:rPr>
          <w:rFonts w:ascii="Century Gothic" w:hAnsi="Century Gothic"/>
          <w:bCs/>
          <w:color w:val="002060"/>
          <w:sz w:val="24"/>
          <w:szCs w:val="24"/>
        </w:rPr>
        <w:t>60,610</w:t>
      </w:r>
      <w:r w:rsidR="0085197A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363E94">
        <w:rPr>
          <w:rFonts w:ascii="Century Gothic" w:hAnsi="Century Gothic"/>
          <w:bCs/>
          <w:color w:val="002060"/>
          <w:sz w:val="24"/>
          <w:szCs w:val="24"/>
        </w:rPr>
        <w:t>in 2021</w:t>
      </w:r>
      <w:r w:rsidRPr="006C244A">
        <w:rPr>
          <w:rFonts w:ascii="Century Gothic" w:hAnsi="Century Gothic"/>
          <w:bCs/>
          <w:color w:val="002060"/>
          <w:sz w:val="24"/>
          <w:szCs w:val="24"/>
        </w:rPr>
        <w:t xml:space="preserve">) </w:t>
      </w:r>
      <w:r w:rsidR="002321DB">
        <w:rPr>
          <w:rFonts w:ascii="Century Gothic" w:hAnsi="Century Gothic"/>
          <w:bCs/>
          <w:color w:val="002060"/>
          <w:sz w:val="24"/>
          <w:szCs w:val="24"/>
        </w:rPr>
        <w:t xml:space="preserve">and </w:t>
      </w:r>
      <w:r w:rsidRPr="006C244A">
        <w:rPr>
          <w:rFonts w:ascii="Century Gothic" w:hAnsi="Century Gothic"/>
          <w:bCs/>
          <w:color w:val="002060"/>
          <w:sz w:val="24"/>
          <w:szCs w:val="24"/>
        </w:rPr>
        <w:t>are the next highest cost</w:t>
      </w:r>
      <w:r w:rsidR="00B761A4">
        <w:rPr>
          <w:rFonts w:ascii="Century Gothic" w:hAnsi="Century Gothic"/>
          <w:bCs/>
          <w:color w:val="002060"/>
          <w:sz w:val="24"/>
          <w:szCs w:val="24"/>
        </w:rPr>
        <w:t>s</w:t>
      </w:r>
      <w:r w:rsidRPr="006C244A">
        <w:rPr>
          <w:rFonts w:ascii="Century Gothic" w:hAnsi="Century Gothic"/>
          <w:bCs/>
          <w:color w:val="002060"/>
          <w:sz w:val="24"/>
          <w:szCs w:val="24"/>
        </w:rPr>
        <w:t xml:space="preserve"> for the</w:t>
      </w:r>
      <w:r w:rsidR="00253D00" w:rsidRPr="006C244A">
        <w:rPr>
          <w:rFonts w:ascii="Century Gothic" w:hAnsi="Century Gothic"/>
          <w:bCs/>
          <w:color w:val="002060"/>
          <w:sz w:val="24"/>
          <w:szCs w:val="24"/>
        </w:rPr>
        <w:t xml:space="preserve"> organisation</w:t>
      </w:r>
      <w:r w:rsidR="00B761A4">
        <w:rPr>
          <w:rFonts w:ascii="Century Gothic" w:hAnsi="Century Gothic"/>
          <w:bCs/>
          <w:color w:val="002060"/>
          <w:sz w:val="24"/>
          <w:szCs w:val="24"/>
        </w:rPr>
        <w:t>,</w:t>
      </w:r>
      <w:r w:rsidR="00253D00" w:rsidRPr="006C244A">
        <w:rPr>
          <w:rFonts w:ascii="Century Gothic" w:hAnsi="Century Gothic"/>
          <w:bCs/>
          <w:color w:val="002060"/>
          <w:sz w:val="24"/>
          <w:szCs w:val="24"/>
        </w:rPr>
        <w:t xml:space="preserve"> represent</w:t>
      </w:r>
      <w:r w:rsidR="0085197A">
        <w:rPr>
          <w:rFonts w:ascii="Century Gothic" w:hAnsi="Century Gothic"/>
          <w:bCs/>
          <w:color w:val="002060"/>
          <w:sz w:val="24"/>
          <w:szCs w:val="24"/>
        </w:rPr>
        <w:t xml:space="preserve">ing </w:t>
      </w:r>
      <w:r w:rsidR="0085197A" w:rsidRPr="002707FE">
        <w:rPr>
          <w:rFonts w:ascii="Century Gothic" w:hAnsi="Century Gothic"/>
          <w:bCs/>
          <w:color w:val="000000" w:themeColor="text1"/>
          <w:sz w:val="24"/>
          <w:szCs w:val="24"/>
        </w:rPr>
        <w:t>1</w:t>
      </w:r>
      <w:r w:rsidR="00AC0AA5" w:rsidRPr="002707FE">
        <w:rPr>
          <w:rFonts w:ascii="Century Gothic" w:hAnsi="Century Gothic"/>
          <w:bCs/>
          <w:color w:val="000000" w:themeColor="text1"/>
          <w:sz w:val="24"/>
          <w:szCs w:val="24"/>
        </w:rPr>
        <w:t>1</w:t>
      </w:r>
      <w:r w:rsidR="00C7072C" w:rsidRPr="006C244A">
        <w:rPr>
          <w:rFonts w:ascii="Century Gothic" w:hAnsi="Century Gothic"/>
          <w:bCs/>
          <w:color w:val="002060"/>
          <w:sz w:val="24"/>
          <w:szCs w:val="24"/>
        </w:rPr>
        <w:t>%</w:t>
      </w:r>
      <w:r w:rsidR="00C7072C">
        <w:rPr>
          <w:rFonts w:ascii="Century Gothic" w:hAnsi="Century Gothic"/>
          <w:bCs/>
          <w:color w:val="002060"/>
          <w:sz w:val="24"/>
          <w:szCs w:val="24"/>
        </w:rPr>
        <w:t xml:space="preserve"> of total cos</w:t>
      </w:r>
      <w:r w:rsidR="002F706E">
        <w:rPr>
          <w:rFonts w:ascii="Century Gothic" w:hAnsi="Century Gothic"/>
          <w:bCs/>
          <w:color w:val="002060"/>
          <w:sz w:val="24"/>
          <w:szCs w:val="24"/>
        </w:rPr>
        <w:t>ts.</w:t>
      </w:r>
      <w:r w:rsidR="0085197A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</w:p>
    <w:p w14:paraId="6E3829C9" w14:textId="77777777" w:rsidR="00915EF7" w:rsidRPr="004B03C0" w:rsidRDefault="00915EF7" w:rsidP="006B7C08">
      <w:pPr>
        <w:spacing w:line="360" w:lineRule="auto"/>
        <w:rPr>
          <w:rFonts w:ascii="Century Gothic" w:hAnsi="Century Gothic"/>
          <w:bCs/>
          <w:color w:val="002060"/>
          <w:sz w:val="24"/>
          <w:szCs w:val="24"/>
        </w:rPr>
      </w:pPr>
      <w:r w:rsidRPr="004B03C0">
        <w:rPr>
          <w:rFonts w:ascii="Century Gothic" w:hAnsi="Century Gothic"/>
          <w:b/>
          <w:bCs/>
          <w:color w:val="002060"/>
          <w:sz w:val="24"/>
          <w:szCs w:val="24"/>
        </w:rPr>
        <w:t>Balance sheet</w:t>
      </w:r>
      <w:r w:rsidRPr="004B03C0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Pr="004B03C0">
        <w:rPr>
          <w:rFonts w:ascii="Century Gothic" w:hAnsi="Century Gothic"/>
          <w:b/>
          <w:bCs/>
          <w:color w:val="002060"/>
          <w:sz w:val="24"/>
          <w:szCs w:val="24"/>
        </w:rPr>
        <w:t>(See Appendix Two)</w:t>
      </w:r>
    </w:p>
    <w:p w14:paraId="7BA7F72E" w14:textId="64BDAEBA" w:rsidR="00915EF7" w:rsidRPr="004B03C0" w:rsidRDefault="00915EF7" w:rsidP="006B7C08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bCs/>
          <w:color w:val="002060"/>
          <w:sz w:val="24"/>
          <w:szCs w:val="24"/>
        </w:rPr>
      </w:pPr>
      <w:r w:rsidRPr="004B03C0">
        <w:rPr>
          <w:rFonts w:ascii="Century Gothic" w:hAnsi="Century Gothic"/>
          <w:bCs/>
          <w:color w:val="002060"/>
          <w:sz w:val="24"/>
          <w:szCs w:val="24"/>
        </w:rPr>
        <w:t>The balance sheet as at 31 March 20</w:t>
      </w:r>
      <w:r w:rsidR="00363E94">
        <w:rPr>
          <w:rFonts w:ascii="Century Gothic" w:hAnsi="Century Gothic"/>
          <w:bCs/>
          <w:color w:val="002060"/>
          <w:sz w:val="24"/>
          <w:szCs w:val="24"/>
        </w:rPr>
        <w:t>22</w:t>
      </w:r>
      <w:r w:rsidR="00E16019" w:rsidRPr="004B03C0">
        <w:rPr>
          <w:rFonts w:ascii="Century Gothic" w:hAnsi="Century Gothic"/>
          <w:bCs/>
          <w:color w:val="002060"/>
          <w:sz w:val="24"/>
          <w:szCs w:val="24"/>
        </w:rPr>
        <w:t xml:space="preserve"> shows Reserves </w:t>
      </w:r>
      <w:r w:rsidRPr="004B03C0">
        <w:rPr>
          <w:rFonts w:ascii="Century Gothic" w:hAnsi="Century Gothic"/>
          <w:bCs/>
          <w:color w:val="002060"/>
          <w:sz w:val="24"/>
          <w:szCs w:val="24"/>
        </w:rPr>
        <w:t xml:space="preserve">of </w:t>
      </w:r>
      <w:r w:rsidR="00B7284F">
        <w:rPr>
          <w:rFonts w:ascii="Century Gothic" w:hAnsi="Century Gothic"/>
          <w:bCs/>
          <w:color w:val="002060"/>
          <w:sz w:val="24"/>
          <w:szCs w:val="24"/>
        </w:rPr>
        <w:t>£</w:t>
      </w:r>
      <w:r w:rsidR="00AC0AA5" w:rsidRPr="00A76258">
        <w:rPr>
          <w:rFonts w:ascii="Century Gothic" w:hAnsi="Century Gothic"/>
          <w:bCs/>
          <w:color w:val="002060"/>
          <w:sz w:val="24"/>
          <w:szCs w:val="24"/>
        </w:rPr>
        <w:t>519,782</w:t>
      </w:r>
      <w:r w:rsidR="004E6D20" w:rsidRPr="00A76258">
        <w:rPr>
          <w:rFonts w:ascii="Century Gothic" w:hAnsi="Century Gothic"/>
          <w:bCs/>
          <w:color w:val="002060"/>
          <w:sz w:val="24"/>
          <w:szCs w:val="24"/>
        </w:rPr>
        <w:t>,</w:t>
      </w:r>
      <w:r w:rsidR="00800EF3" w:rsidRPr="00A76258">
        <w:rPr>
          <w:rFonts w:ascii="Century Gothic" w:hAnsi="Century Gothic"/>
          <w:bCs/>
          <w:color w:val="002060"/>
          <w:sz w:val="24"/>
          <w:szCs w:val="24"/>
        </w:rPr>
        <w:t xml:space="preserve"> a</w:t>
      </w:r>
      <w:r w:rsidR="00AC0AA5" w:rsidRPr="00A76258">
        <w:rPr>
          <w:rFonts w:ascii="Century Gothic" w:hAnsi="Century Gothic"/>
          <w:bCs/>
          <w:color w:val="002060"/>
          <w:sz w:val="24"/>
          <w:szCs w:val="24"/>
        </w:rPr>
        <w:t>n in</w:t>
      </w:r>
      <w:r w:rsidR="00C7072C" w:rsidRPr="00A76258">
        <w:rPr>
          <w:rFonts w:ascii="Century Gothic" w:hAnsi="Century Gothic"/>
          <w:bCs/>
          <w:color w:val="002060"/>
          <w:sz w:val="24"/>
          <w:szCs w:val="24"/>
        </w:rPr>
        <w:t>crease</w:t>
      </w:r>
      <w:r w:rsidR="00800EF3" w:rsidRPr="00A76258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Pr="00A76258">
        <w:rPr>
          <w:rFonts w:ascii="Century Gothic" w:hAnsi="Century Gothic"/>
          <w:bCs/>
          <w:color w:val="002060"/>
          <w:sz w:val="24"/>
          <w:szCs w:val="24"/>
        </w:rPr>
        <w:t xml:space="preserve">of </w:t>
      </w:r>
      <w:r w:rsidR="00B7284F" w:rsidRPr="00A76258">
        <w:rPr>
          <w:rFonts w:ascii="Century Gothic" w:hAnsi="Century Gothic"/>
          <w:bCs/>
          <w:color w:val="002060"/>
          <w:sz w:val="24"/>
          <w:szCs w:val="24"/>
        </w:rPr>
        <w:t>£</w:t>
      </w:r>
      <w:r w:rsidR="00AC0AA5" w:rsidRPr="00A76258">
        <w:rPr>
          <w:rFonts w:ascii="Century Gothic" w:hAnsi="Century Gothic"/>
          <w:bCs/>
          <w:color w:val="002060"/>
          <w:sz w:val="24"/>
          <w:szCs w:val="24"/>
        </w:rPr>
        <w:t>36,937</w:t>
      </w:r>
      <w:r w:rsidR="00D62EBB" w:rsidRPr="00A76258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Pr="004B03C0">
        <w:rPr>
          <w:rFonts w:ascii="Century Gothic" w:hAnsi="Century Gothic"/>
          <w:bCs/>
          <w:color w:val="002060"/>
          <w:sz w:val="24"/>
          <w:szCs w:val="24"/>
        </w:rPr>
        <w:t>on the cor</w:t>
      </w:r>
      <w:r w:rsidR="00AC0AA5">
        <w:rPr>
          <w:rFonts w:ascii="Century Gothic" w:hAnsi="Century Gothic"/>
          <w:bCs/>
          <w:color w:val="002060"/>
          <w:sz w:val="24"/>
          <w:szCs w:val="24"/>
        </w:rPr>
        <w:t>responding figure as at 31/03/21</w:t>
      </w:r>
      <w:r w:rsidR="00DC4871">
        <w:rPr>
          <w:rFonts w:ascii="Century Gothic" w:hAnsi="Century Gothic"/>
          <w:bCs/>
          <w:color w:val="002060"/>
          <w:sz w:val="24"/>
          <w:szCs w:val="24"/>
        </w:rPr>
        <w:t>.</w:t>
      </w:r>
      <w:r w:rsidRPr="004B03C0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DC4871">
        <w:rPr>
          <w:rFonts w:ascii="Century Gothic" w:hAnsi="Century Gothic"/>
          <w:bCs/>
          <w:color w:val="002060"/>
          <w:sz w:val="24"/>
          <w:szCs w:val="24"/>
        </w:rPr>
        <w:t>T</w:t>
      </w:r>
      <w:r w:rsidR="00800EF3" w:rsidRPr="004B03C0">
        <w:rPr>
          <w:rFonts w:ascii="Century Gothic" w:hAnsi="Century Gothic"/>
          <w:bCs/>
          <w:color w:val="002060"/>
          <w:sz w:val="24"/>
          <w:szCs w:val="24"/>
        </w:rPr>
        <w:t>he</w:t>
      </w:r>
      <w:r w:rsidR="00AC0AA5">
        <w:rPr>
          <w:rFonts w:ascii="Century Gothic" w:hAnsi="Century Gothic"/>
          <w:bCs/>
          <w:color w:val="002060"/>
          <w:sz w:val="24"/>
          <w:szCs w:val="24"/>
        </w:rPr>
        <w:t xml:space="preserve"> in</w:t>
      </w:r>
      <w:r w:rsidR="00DC4871">
        <w:rPr>
          <w:rFonts w:ascii="Century Gothic" w:hAnsi="Century Gothic"/>
          <w:bCs/>
          <w:color w:val="002060"/>
          <w:sz w:val="24"/>
          <w:szCs w:val="24"/>
        </w:rPr>
        <w:t>crease represents</w:t>
      </w:r>
      <w:r w:rsidR="00C758EA">
        <w:rPr>
          <w:rFonts w:ascii="Century Gothic" w:hAnsi="Century Gothic"/>
          <w:bCs/>
          <w:color w:val="002060"/>
          <w:sz w:val="24"/>
          <w:szCs w:val="24"/>
        </w:rPr>
        <w:t xml:space="preserve"> the surplus</w:t>
      </w:r>
      <w:r w:rsidR="00C7072C">
        <w:rPr>
          <w:rFonts w:ascii="Century Gothic" w:hAnsi="Century Gothic"/>
          <w:bCs/>
          <w:color w:val="002060"/>
          <w:sz w:val="24"/>
          <w:szCs w:val="24"/>
        </w:rPr>
        <w:t xml:space="preserve"> reported for the current</w:t>
      </w:r>
      <w:r w:rsidRPr="004B03C0">
        <w:rPr>
          <w:rFonts w:ascii="Century Gothic" w:hAnsi="Century Gothic"/>
          <w:bCs/>
          <w:color w:val="002060"/>
          <w:sz w:val="24"/>
          <w:szCs w:val="24"/>
        </w:rPr>
        <w:t xml:space="preserve"> period.</w:t>
      </w:r>
      <w:r w:rsidR="00495387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</w:p>
    <w:p w14:paraId="5B279F44" w14:textId="76D43A28" w:rsidR="004B03C0" w:rsidRPr="00A76258" w:rsidRDefault="00915EF7" w:rsidP="006B7C08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b/>
          <w:bCs/>
          <w:color w:val="002060"/>
          <w:sz w:val="24"/>
          <w:szCs w:val="24"/>
        </w:rPr>
      </w:pPr>
      <w:r w:rsidRPr="00A76258">
        <w:rPr>
          <w:rFonts w:ascii="Century Gothic" w:hAnsi="Century Gothic"/>
          <w:bCs/>
          <w:color w:val="002060"/>
          <w:sz w:val="24"/>
          <w:szCs w:val="24"/>
        </w:rPr>
        <w:t>Year-end cash balanc</w:t>
      </w:r>
      <w:r w:rsidR="005C228E" w:rsidRPr="00A76258">
        <w:rPr>
          <w:rFonts w:ascii="Century Gothic" w:hAnsi="Century Gothic"/>
          <w:bCs/>
          <w:color w:val="002060"/>
          <w:sz w:val="24"/>
          <w:szCs w:val="24"/>
        </w:rPr>
        <w:t>es</w:t>
      </w:r>
      <w:r w:rsidR="00495387" w:rsidRPr="00A76258">
        <w:rPr>
          <w:rFonts w:ascii="Century Gothic" w:hAnsi="Century Gothic"/>
          <w:bCs/>
          <w:color w:val="002060"/>
          <w:sz w:val="24"/>
          <w:szCs w:val="24"/>
        </w:rPr>
        <w:t xml:space="preserve"> totalled £</w:t>
      </w:r>
      <w:r w:rsidR="00C758EA" w:rsidRPr="00A76258">
        <w:rPr>
          <w:rFonts w:ascii="Century Gothic" w:hAnsi="Century Gothic"/>
          <w:bCs/>
          <w:color w:val="002060"/>
          <w:sz w:val="24"/>
          <w:szCs w:val="24"/>
        </w:rPr>
        <w:t>520,426</w:t>
      </w:r>
      <w:r w:rsidR="0073018A" w:rsidRPr="00A76258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363E94" w:rsidRPr="00A76258">
        <w:rPr>
          <w:rFonts w:ascii="Century Gothic" w:hAnsi="Century Gothic"/>
          <w:bCs/>
          <w:color w:val="002060"/>
          <w:sz w:val="24"/>
          <w:szCs w:val="24"/>
        </w:rPr>
        <w:t>(£528,381 at 31/03/21</w:t>
      </w:r>
      <w:r w:rsidRPr="00A76258">
        <w:rPr>
          <w:rFonts w:ascii="Century Gothic" w:hAnsi="Century Gothic"/>
          <w:bCs/>
          <w:color w:val="002060"/>
          <w:sz w:val="24"/>
          <w:szCs w:val="24"/>
        </w:rPr>
        <w:t>). The cash balances held at the year–end are considered to be satisfactory and, in the context of the continued support of our major funders, capable of sustaini</w:t>
      </w:r>
      <w:r w:rsidR="00363E94" w:rsidRPr="00A76258">
        <w:rPr>
          <w:rFonts w:ascii="Century Gothic" w:hAnsi="Century Gothic"/>
          <w:bCs/>
          <w:color w:val="002060"/>
          <w:sz w:val="24"/>
          <w:szCs w:val="24"/>
        </w:rPr>
        <w:t>ng the organisation for the 2023</w:t>
      </w:r>
      <w:r w:rsidR="00C7072C" w:rsidRPr="00A76258">
        <w:rPr>
          <w:rFonts w:ascii="Century Gothic" w:hAnsi="Century Gothic"/>
          <w:bCs/>
          <w:color w:val="002060"/>
          <w:sz w:val="24"/>
          <w:szCs w:val="24"/>
        </w:rPr>
        <w:t>/</w:t>
      </w:r>
      <w:r w:rsidR="00363E94" w:rsidRPr="00A76258">
        <w:rPr>
          <w:rFonts w:ascii="Century Gothic" w:hAnsi="Century Gothic"/>
          <w:bCs/>
          <w:color w:val="002060"/>
          <w:sz w:val="24"/>
          <w:szCs w:val="24"/>
        </w:rPr>
        <w:t>24</w:t>
      </w:r>
      <w:r w:rsidRPr="00A76258">
        <w:rPr>
          <w:rFonts w:ascii="Century Gothic" w:hAnsi="Century Gothic"/>
          <w:bCs/>
          <w:color w:val="002060"/>
          <w:sz w:val="24"/>
          <w:szCs w:val="24"/>
        </w:rPr>
        <w:t xml:space="preserve"> financial period and beyond.</w:t>
      </w:r>
    </w:p>
    <w:p w14:paraId="0A7F916B" w14:textId="77777777" w:rsidR="00915EF7" w:rsidRPr="004B03C0" w:rsidRDefault="00915EF7" w:rsidP="006B7C08">
      <w:pPr>
        <w:pStyle w:val="ListParagraph"/>
        <w:spacing w:line="360" w:lineRule="auto"/>
        <w:ind w:left="0"/>
        <w:rPr>
          <w:rFonts w:ascii="Century Gothic" w:hAnsi="Century Gothic"/>
          <w:b/>
          <w:bCs/>
          <w:color w:val="002060"/>
          <w:sz w:val="24"/>
          <w:szCs w:val="24"/>
        </w:rPr>
      </w:pPr>
      <w:r w:rsidRPr="004B03C0">
        <w:rPr>
          <w:rFonts w:ascii="Century Gothic" w:hAnsi="Century Gothic"/>
          <w:b/>
          <w:bCs/>
          <w:color w:val="002060"/>
          <w:sz w:val="24"/>
          <w:szCs w:val="24"/>
        </w:rPr>
        <w:t>Funding sources</w:t>
      </w:r>
    </w:p>
    <w:p w14:paraId="5AFA6EE4" w14:textId="77777777" w:rsidR="00B6303B" w:rsidRDefault="00915EF7" w:rsidP="006B7C08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bCs/>
          <w:color w:val="002060"/>
          <w:sz w:val="24"/>
          <w:szCs w:val="24"/>
        </w:rPr>
      </w:pPr>
      <w:r w:rsidRPr="00B6303B">
        <w:rPr>
          <w:rFonts w:ascii="Century Gothic" w:hAnsi="Century Gothic"/>
          <w:bCs/>
          <w:color w:val="002060"/>
          <w:sz w:val="24"/>
          <w:szCs w:val="24"/>
        </w:rPr>
        <w:t>We are pleased to advise that our core activit</w:t>
      </w:r>
      <w:r w:rsidR="00451BDA" w:rsidRPr="00B6303B">
        <w:rPr>
          <w:rFonts w:ascii="Century Gothic" w:hAnsi="Century Gothic"/>
          <w:bCs/>
          <w:color w:val="002060"/>
          <w:sz w:val="24"/>
          <w:szCs w:val="24"/>
        </w:rPr>
        <w:t xml:space="preserve">ies continue to be funded by </w:t>
      </w:r>
      <w:r w:rsidR="0073018A" w:rsidRPr="00B6303B">
        <w:rPr>
          <w:rFonts w:ascii="Century Gothic" w:hAnsi="Century Gothic"/>
          <w:bCs/>
          <w:color w:val="002060"/>
          <w:sz w:val="24"/>
          <w:szCs w:val="24"/>
        </w:rPr>
        <w:t xml:space="preserve">the Scottish Government Learning Directorate and the </w:t>
      </w:r>
      <w:r w:rsidR="00E52ADB" w:rsidRPr="00B6303B">
        <w:rPr>
          <w:rFonts w:ascii="Century Gothic" w:hAnsi="Century Gothic"/>
          <w:bCs/>
          <w:color w:val="002060"/>
          <w:sz w:val="24"/>
          <w:szCs w:val="24"/>
        </w:rPr>
        <w:t>Scottish Government</w:t>
      </w:r>
      <w:r w:rsidR="00A1742A" w:rsidRPr="00B6303B">
        <w:rPr>
          <w:rFonts w:ascii="Century Gothic" w:hAnsi="Century Gothic"/>
          <w:bCs/>
          <w:color w:val="002060"/>
          <w:sz w:val="24"/>
          <w:szCs w:val="24"/>
        </w:rPr>
        <w:t>/</w:t>
      </w:r>
      <w:r w:rsidR="0073018A" w:rsidRPr="00B6303B">
        <w:rPr>
          <w:rFonts w:ascii="Century Gothic" w:hAnsi="Century Gothic"/>
          <w:bCs/>
          <w:color w:val="002060"/>
          <w:sz w:val="24"/>
          <w:szCs w:val="24"/>
        </w:rPr>
        <w:t>Corra</w:t>
      </w:r>
      <w:r w:rsidR="00A1742A" w:rsidRPr="00B6303B">
        <w:rPr>
          <w:rFonts w:ascii="Century Gothic" w:hAnsi="Century Gothic"/>
          <w:bCs/>
          <w:color w:val="002060"/>
          <w:sz w:val="24"/>
          <w:szCs w:val="24"/>
        </w:rPr>
        <w:t xml:space="preserve"> Foundation through the Children and Young People’s Early Intervention Fund/Adult Learning and Empowering </w:t>
      </w:r>
      <w:r w:rsidR="00D55654">
        <w:rPr>
          <w:rFonts w:ascii="Century Gothic" w:hAnsi="Century Gothic"/>
          <w:bCs/>
          <w:color w:val="002060"/>
          <w:sz w:val="24"/>
          <w:szCs w:val="24"/>
        </w:rPr>
        <w:t>Communities Fund</w:t>
      </w:r>
      <w:r w:rsidR="00451BDA" w:rsidRPr="00B6303B">
        <w:rPr>
          <w:rFonts w:ascii="Century Gothic" w:hAnsi="Century Gothic"/>
          <w:bCs/>
          <w:color w:val="002060"/>
          <w:sz w:val="24"/>
          <w:szCs w:val="24"/>
        </w:rPr>
        <w:t xml:space="preserve"> to the extent of £</w:t>
      </w:r>
      <w:r w:rsidR="0073018A" w:rsidRPr="00B6303B">
        <w:rPr>
          <w:rFonts w:ascii="Century Gothic" w:hAnsi="Century Gothic"/>
          <w:bCs/>
          <w:color w:val="002060"/>
          <w:sz w:val="24"/>
          <w:szCs w:val="24"/>
        </w:rPr>
        <w:t>2</w:t>
      </w:r>
      <w:r w:rsidR="00451BDA" w:rsidRPr="00B6303B">
        <w:rPr>
          <w:rFonts w:ascii="Century Gothic" w:hAnsi="Century Gothic"/>
          <w:bCs/>
          <w:color w:val="002060"/>
          <w:sz w:val="24"/>
          <w:szCs w:val="24"/>
        </w:rPr>
        <w:t>50,000</w:t>
      </w:r>
      <w:r w:rsidR="0073018A" w:rsidRPr="00B6303B">
        <w:rPr>
          <w:rFonts w:ascii="Century Gothic" w:hAnsi="Century Gothic"/>
          <w:bCs/>
          <w:color w:val="002060"/>
          <w:sz w:val="24"/>
          <w:szCs w:val="24"/>
        </w:rPr>
        <w:t xml:space="preserve"> in total</w:t>
      </w:r>
      <w:r w:rsidR="00451BDA" w:rsidRPr="00B6303B">
        <w:rPr>
          <w:rFonts w:ascii="Century Gothic" w:hAnsi="Century Gothic"/>
          <w:bCs/>
          <w:color w:val="002060"/>
          <w:sz w:val="24"/>
          <w:szCs w:val="24"/>
        </w:rPr>
        <w:t xml:space="preserve">. </w:t>
      </w:r>
    </w:p>
    <w:p w14:paraId="41C977F6" w14:textId="258041EC" w:rsidR="005134E4" w:rsidRDefault="00B6303B" w:rsidP="006B7C08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bCs/>
          <w:color w:val="002060"/>
          <w:sz w:val="24"/>
          <w:szCs w:val="24"/>
        </w:rPr>
      </w:pPr>
      <w:r>
        <w:rPr>
          <w:rFonts w:ascii="Century Gothic" w:hAnsi="Century Gothic"/>
          <w:bCs/>
          <w:color w:val="002060"/>
          <w:sz w:val="24"/>
          <w:szCs w:val="24"/>
        </w:rPr>
        <w:t xml:space="preserve">The </w:t>
      </w:r>
      <w:r w:rsidR="00915EF7" w:rsidRPr="00B6303B">
        <w:rPr>
          <w:rFonts w:ascii="Century Gothic" w:hAnsi="Century Gothic"/>
          <w:bCs/>
          <w:color w:val="002060"/>
          <w:sz w:val="24"/>
          <w:szCs w:val="24"/>
        </w:rPr>
        <w:t>Ch</w:t>
      </w:r>
      <w:r w:rsidR="009279FC" w:rsidRPr="00B6303B">
        <w:rPr>
          <w:rFonts w:ascii="Century Gothic" w:hAnsi="Century Gothic"/>
          <w:bCs/>
          <w:color w:val="002060"/>
          <w:sz w:val="24"/>
          <w:szCs w:val="24"/>
        </w:rPr>
        <w:t xml:space="preserve">ief Executive </w:t>
      </w:r>
      <w:r>
        <w:rPr>
          <w:rFonts w:ascii="Century Gothic" w:hAnsi="Century Gothic"/>
          <w:bCs/>
          <w:color w:val="002060"/>
          <w:sz w:val="24"/>
          <w:szCs w:val="24"/>
        </w:rPr>
        <w:t>position is funded by Dr</w:t>
      </w:r>
      <w:r w:rsidR="00A76258">
        <w:rPr>
          <w:rFonts w:ascii="Century Gothic" w:hAnsi="Century Gothic"/>
          <w:bCs/>
          <w:color w:val="002060"/>
          <w:sz w:val="24"/>
          <w:szCs w:val="24"/>
        </w:rPr>
        <w:t>.</w:t>
      </w:r>
      <w:r>
        <w:rPr>
          <w:rFonts w:ascii="Century Gothic" w:hAnsi="Century Gothic"/>
          <w:bCs/>
          <w:color w:val="002060"/>
          <w:sz w:val="24"/>
          <w:szCs w:val="24"/>
        </w:rPr>
        <w:t xml:space="preserve"> Walter Scott. </w:t>
      </w:r>
    </w:p>
    <w:p w14:paraId="244A25A4" w14:textId="4DF2BE51" w:rsidR="005134E4" w:rsidRDefault="00175F2B" w:rsidP="006B7C08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bCs/>
          <w:color w:val="002060"/>
          <w:sz w:val="24"/>
          <w:szCs w:val="24"/>
        </w:rPr>
      </w:pPr>
      <w:r>
        <w:rPr>
          <w:rFonts w:ascii="Century Gothic" w:hAnsi="Century Gothic"/>
          <w:bCs/>
          <w:color w:val="002060"/>
          <w:sz w:val="24"/>
          <w:szCs w:val="24"/>
        </w:rPr>
        <w:t xml:space="preserve">The </w:t>
      </w:r>
      <w:r w:rsidR="00CB0CF6">
        <w:rPr>
          <w:rFonts w:ascii="Century Gothic" w:hAnsi="Century Gothic"/>
          <w:bCs/>
          <w:color w:val="002060"/>
          <w:sz w:val="24"/>
          <w:szCs w:val="24"/>
        </w:rPr>
        <w:t xml:space="preserve">Sean </w:t>
      </w:r>
      <w:r>
        <w:rPr>
          <w:rFonts w:ascii="Century Gothic" w:hAnsi="Century Gothic"/>
          <w:bCs/>
          <w:color w:val="002060"/>
          <w:sz w:val="24"/>
          <w:szCs w:val="24"/>
        </w:rPr>
        <w:t xml:space="preserve">Connery </w:t>
      </w:r>
      <w:r w:rsidR="00CB0CF6">
        <w:rPr>
          <w:rFonts w:ascii="Century Gothic" w:hAnsi="Century Gothic"/>
          <w:bCs/>
          <w:color w:val="002060"/>
          <w:sz w:val="24"/>
          <w:szCs w:val="24"/>
        </w:rPr>
        <w:t>family</w:t>
      </w:r>
      <w:r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7F2174">
        <w:rPr>
          <w:rFonts w:ascii="Century Gothic" w:hAnsi="Century Gothic"/>
          <w:bCs/>
          <w:color w:val="002060"/>
          <w:sz w:val="24"/>
          <w:szCs w:val="24"/>
        </w:rPr>
        <w:t xml:space="preserve">contributed £60,000 in 2022 </w:t>
      </w:r>
      <w:r w:rsidR="00CB0CF6">
        <w:rPr>
          <w:rFonts w:ascii="Century Gothic" w:hAnsi="Century Gothic"/>
          <w:bCs/>
          <w:color w:val="002060"/>
          <w:sz w:val="24"/>
          <w:szCs w:val="24"/>
        </w:rPr>
        <w:t>towards our Tutor Bursary Fund</w:t>
      </w:r>
      <w:r w:rsidR="007F2174">
        <w:rPr>
          <w:rFonts w:ascii="Century Gothic" w:hAnsi="Century Gothic"/>
          <w:bCs/>
          <w:color w:val="002060"/>
          <w:sz w:val="24"/>
          <w:szCs w:val="24"/>
        </w:rPr>
        <w:t>.</w:t>
      </w:r>
    </w:p>
    <w:p w14:paraId="3E0B6E4D" w14:textId="77777777" w:rsidR="00174820" w:rsidRDefault="00915EF7" w:rsidP="006B7C08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Century Gothic" w:hAnsi="Century Gothic"/>
          <w:bCs/>
          <w:color w:val="002060"/>
          <w:sz w:val="24"/>
          <w:szCs w:val="24"/>
        </w:rPr>
      </w:pPr>
      <w:r w:rsidRPr="004B03C0">
        <w:rPr>
          <w:rFonts w:ascii="Century Gothic" w:hAnsi="Century Gothic"/>
          <w:bCs/>
          <w:color w:val="002060"/>
          <w:sz w:val="24"/>
          <w:szCs w:val="24"/>
        </w:rPr>
        <w:lastRenderedPageBreak/>
        <w:t>We will continue to seek replacement of f</w:t>
      </w:r>
      <w:r w:rsidR="00E52ADB" w:rsidRPr="004B03C0">
        <w:rPr>
          <w:rFonts w:ascii="Century Gothic" w:hAnsi="Century Gothic"/>
          <w:bCs/>
          <w:color w:val="002060"/>
          <w:sz w:val="24"/>
          <w:szCs w:val="24"/>
        </w:rPr>
        <w:t>unding lines as they expire.</w:t>
      </w:r>
      <w:r w:rsidR="00174820" w:rsidRPr="00174820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</w:p>
    <w:p w14:paraId="5AF994A9" w14:textId="5AC8497F" w:rsidR="00915EF7" w:rsidRPr="005515D3" w:rsidRDefault="00363E94" w:rsidP="006B7C08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Century Gothic" w:hAnsi="Century Gothic"/>
          <w:bCs/>
          <w:color w:val="002060"/>
          <w:sz w:val="24"/>
          <w:szCs w:val="24"/>
        </w:rPr>
      </w:pPr>
      <w:r w:rsidRPr="005515D3">
        <w:rPr>
          <w:rFonts w:ascii="Century Gothic" w:hAnsi="Century Gothic"/>
          <w:bCs/>
          <w:color w:val="002060"/>
          <w:sz w:val="24"/>
          <w:szCs w:val="24"/>
        </w:rPr>
        <w:t>2022</w:t>
      </w:r>
      <w:r w:rsidR="00174820" w:rsidRPr="005515D3">
        <w:rPr>
          <w:rFonts w:ascii="Century Gothic" w:hAnsi="Century Gothic"/>
          <w:bCs/>
          <w:color w:val="002060"/>
          <w:sz w:val="24"/>
          <w:szCs w:val="24"/>
        </w:rPr>
        <w:t xml:space="preserve"> Income from Charitable Activities amounted to £</w:t>
      </w:r>
      <w:r w:rsidR="00112F26" w:rsidRPr="005515D3">
        <w:rPr>
          <w:rFonts w:ascii="Century Gothic" w:hAnsi="Century Gothic"/>
          <w:bCs/>
          <w:color w:val="002060"/>
          <w:sz w:val="24"/>
          <w:szCs w:val="24"/>
        </w:rPr>
        <w:t>29,481</w:t>
      </w:r>
      <w:r w:rsidRPr="005515D3">
        <w:rPr>
          <w:rFonts w:ascii="Century Gothic" w:hAnsi="Century Gothic"/>
          <w:color w:val="002060"/>
          <w:sz w:val="24"/>
          <w:szCs w:val="24"/>
        </w:rPr>
        <w:t xml:space="preserve"> (</w:t>
      </w:r>
      <w:r w:rsidRPr="005515D3">
        <w:rPr>
          <w:rFonts w:ascii="Century Gothic" w:hAnsi="Century Gothic"/>
          <w:bCs/>
          <w:color w:val="002060"/>
          <w:sz w:val="24"/>
          <w:szCs w:val="24"/>
        </w:rPr>
        <w:t>£28,634</w:t>
      </w:r>
      <w:r w:rsidRPr="005515D3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112F26" w:rsidRPr="005515D3">
        <w:rPr>
          <w:rFonts w:ascii="Century Gothic" w:hAnsi="Century Gothic"/>
          <w:color w:val="002060"/>
          <w:sz w:val="24"/>
          <w:szCs w:val="24"/>
        </w:rPr>
        <w:t>in 2021</w:t>
      </w:r>
      <w:r w:rsidR="00174820" w:rsidRPr="005515D3">
        <w:rPr>
          <w:rFonts w:ascii="Century Gothic" w:hAnsi="Century Gothic"/>
          <w:color w:val="002060"/>
          <w:sz w:val="24"/>
          <w:szCs w:val="24"/>
        </w:rPr>
        <w:t>),</w:t>
      </w:r>
      <w:r w:rsidR="00174820" w:rsidRPr="005515D3">
        <w:rPr>
          <w:color w:val="002060"/>
          <w:sz w:val="20"/>
          <w:szCs w:val="20"/>
        </w:rPr>
        <w:t xml:space="preserve"> </w:t>
      </w:r>
      <w:r w:rsidR="00174820" w:rsidRPr="005515D3">
        <w:rPr>
          <w:rFonts w:ascii="Century Gothic" w:hAnsi="Century Gothic"/>
          <w:bCs/>
          <w:color w:val="002060"/>
          <w:sz w:val="24"/>
          <w:szCs w:val="24"/>
        </w:rPr>
        <w:t>a</w:t>
      </w:r>
      <w:r w:rsidR="00112F26" w:rsidRPr="005515D3">
        <w:rPr>
          <w:rFonts w:ascii="Century Gothic" w:hAnsi="Century Gothic"/>
          <w:bCs/>
          <w:color w:val="002060"/>
          <w:sz w:val="24"/>
          <w:szCs w:val="24"/>
        </w:rPr>
        <w:t>n increase of £847</w:t>
      </w:r>
      <w:r w:rsidR="00174820" w:rsidRPr="005515D3">
        <w:rPr>
          <w:rFonts w:ascii="Century Gothic" w:hAnsi="Century Gothic"/>
          <w:bCs/>
          <w:color w:val="002060"/>
          <w:sz w:val="24"/>
          <w:szCs w:val="24"/>
        </w:rPr>
        <w:t xml:space="preserve"> over the period. The largest contributors to the 202</w:t>
      </w:r>
      <w:r w:rsidRPr="005515D3">
        <w:rPr>
          <w:rFonts w:ascii="Century Gothic" w:hAnsi="Century Gothic"/>
          <w:bCs/>
          <w:color w:val="002060"/>
          <w:sz w:val="24"/>
          <w:szCs w:val="24"/>
        </w:rPr>
        <w:t>2</w:t>
      </w:r>
      <w:r w:rsidR="00174820" w:rsidRPr="005515D3">
        <w:rPr>
          <w:rFonts w:ascii="Century Gothic" w:hAnsi="Century Gothic"/>
          <w:bCs/>
          <w:color w:val="002060"/>
          <w:sz w:val="24"/>
          <w:szCs w:val="24"/>
        </w:rPr>
        <w:t xml:space="preserve"> total were Membership fees</w:t>
      </w:r>
      <w:r w:rsidRPr="005515D3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112F26" w:rsidRPr="005515D3">
        <w:rPr>
          <w:rFonts w:ascii="Century Gothic" w:hAnsi="Century Gothic"/>
          <w:bCs/>
          <w:color w:val="002060"/>
          <w:sz w:val="24"/>
          <w:szCs w:val="24"/>
        </w:rPr>
        <w:t>£12,060</w:t>
      </w:r>
      <w:r w:rsidRPr="005515D3">
        <w:rPr>
          <w:rFonts w:ascii="Century Gothic" w:hAnsi="Century Gothic"/>
          <w:bCs/>
          <w:color w:val="002060"/>
          <w:sz w:val="24"/>
          <w:szCs w:val="24"/>
        </w:rPr>
        <w:t xml:space="preserve"> (£14,224  in 2021</w:t>
      </w:r>
      <w:r w:rsidR="00174820" w:rsidRPr="005515D3">
        <w:rPr>
          <w:rFonts w:ascii="Century Gothic" w:hAnsi="Century Gothic"/>
          <w:bCs/>
          <w:color w:val="002060"/>
          <w:sz w:val="24"/>
          <w:szCs w:val="24"/>
        </w:rPr>
        <w:t>),</w:t>
      </w:r>
      <w:r w:rsidRPr="005515D3">
        <w:rPr>
          <w:rFonts w:ascii="Century Gothic" w:hAnsi="Century Gothic"/>
          <w:bCs/>
          <w:color w:val="002060"/>
          <w:sz w:val="24"/>
          <w:szCs w:val="24"/>
        </w:rPr>
        <w:t xml:space="preserve"> Conference Fees </w:t>
      </w:r>
      <w:r w:rsidR="00112F26" w:rsidRPr="005515D3">
        <w:rPr>
          <w:rFonts w:ascii="Century Gothic" w:hAnsi="Century Gothic"/>
          <w:bCs/>
          <w:color w:val="002060"/>
          <w:sz w:val="24"/>
          <w:szCs w:val="24"/>
        </w:rPr>
        <w:t>£8,061</w:t>
      </w:r>
      <w:r w:rsidRPr="005515D3">
        <w:rPr>
          <w:rFonts w:ascii="Century Gothic" w:hAnsi="Century Gothic"/>
          <w:bCs/>
          <w:color w:val="002060"/>
          <w:sz w:val="24"/>
          <w:szCs w:val="24"/>
        </w:rPr>
        <w:t xml:space="preserve"> (£8,686  in 2021</w:t>
      </w:r>
      <w:r w:rsidR="00174820" w:rsidRPr="005515D3">
        <w:rPr>
          <w:rFonts w:ascii="Century Gothic" w:hAnsi="Century Gothic"/>
          <w:bCs/>
          <w:color w:val="002060"/>
          <w:sz w:val="24"/>
          <w:szCs w:val="24"/>
        </w:rPr>
        <w:t xml:space="preserve">), and Training Income </w:t>
      </w:r>
      <w:r w:rsidR="00112F26" w:rsidRPr="005515D3">
        <w:rPr>
          <w:rFonts w:ascii="Century Gothic" w:hAnsi="Century Gothic"/>
          <w:bCs/>
          <w:color w:val="002060"/>
          <w:sz w:val="24"/>
          <w:szCs w:val="24"/>
        </w:rPr>
        <w:t>£6,995</w:t>
      </w:r>
      <w:r w:rsidR="00174820" w:rsidRPr="005515D3">
        <w:rPr>
          <w:rFonts w:ascii="Century Gothic" w:hAnsi="Century Gothic"/>
          <w:bCs/>
          <w:color w:val="002060"/>
          <w:sz w:val="24"/>
          <w:szCs w:val="24"/>
        </w:rPr>
        <w:t xml:space="preserve"> (</w:t>
      </w:r>
      <w:r w:rsidRPr="005515D3">
        <w:rPr>
          <w:rFonts w:ascii="Century Gothic" w:hAnsi="Century Gothic"/>
          <w:bCs/>
          <w:color w:val="002060"/>
          <w:sz w:val="24"/>
          <w:szCs w:val="24"/>
        </w:rPr>
        <w:t>£3,502  in 2021</w:t>
      </w:r>
      <w:r w:rsidR="00174820" w:rsidRPr="005515D3">
        <w:rPr>
          <w:rFonts w:ascii="Century Gothic" w:hAnsi="Century Gothic"/>
          <w:bCs/>
          <w:color w:val="002060"/>
          <w:sz w:val="24"/>
          <w:szCs w:val="24"/>
        </w:rPr>
        <w:t>)</w:t>
      </w:r>
    </w:p>
    <w:p w14:paraId="414560AA" w14:textId="276AF6BE" w:rsidR="00D55654" w:rsidRPr="00815720" w:rsidRDefault="00D55654" w:rsidP="006B7C08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bCs/>
          <w:color w:val="002060"/>
          <w:sz w:val="24"/>
          <w:szCs w:val="24"/>
        </w:rPr>
      </w:pPr>
      <w:r w:rsidRPr="00815720">
        <w:rPr>
          <w:rFonts w:ascii="Century Gothic" w:hAnsi="Century Gothic"/>
          <w:bCs/>
          <w:color w:val="002060"/>
          <w:sz w:val="24"/>
          <w:szCs w:val="24"/>
        </w:rPr>
        <w:t>Given the financial implicatio</w:t>
      </w:r>
      <w:r w:rsidR="004E6D20" w:rsidRPr="00815720">
        <w:rPr>
          <w:rFonts w:ascii="Century Gothic" w:hAnsi="Century Gothic"/>
          <w:bCs/>
          <w:color w:val="002060"/>
          <w:sz w:val="24"/>
          <w:szCs w:val="24"/>
        </w:rPr>
        <w:t>ns of Covid-19 and beyond, the B</w:t>
      </w:r>
      <w:r w:rsidRPr="00815720">
        <w:rPr>
          <w:rFonts w:ascii="Century Gothic" w:hAnsi="Century Gothic"/>
          <w:bCs/>
          <w:color w:val="002060"/>
          <w:sz w:val="24"/>
          <w:szCs w:val="24"/>
        </w:rPr>
        <w:t>oard constantly review income and expenditure to ensure we continue to meet the increasing demand for support and services for children</w:t>
      </w:r>
      <w:r w:rsidR="00523858">
        <w:rPr>
          <w:rFonts w:ascii="Century Gothic" w:hAnsi="Century Gothic"/>
          <w:bCs/>
          <w:color w:val="002060"/>
          <w:sz w:val="24"/>
          <w:szCs w:val="24"/>
        </w:rPr>
        <w:t>, young people and adults with d</w:t>
      </w:r>
      <w:r w:rsidRPr="00815720">
        <w:rPr>
          <w:rFonts w:ascii="Century Gothic" w:hAnsi="Century Gothic"/>
          <w:bCs/>
          <w:color w:val="002060"/>
          <w:sz w:val="24"/>
          <w:szCs w:val="24"/>
        </w:rPr>
        <w:t>yslexia.</w:t>
      </w:r>
    </w:p>
    <w:p w14:paraId="1635A9AA" w14:textId="60C978F9" w:rsidR="00BB2358" w:rsidRPr="002E0DB4" w:rsidRDefault="00915EF7" w:rsidP="002E0DB4">
      <w:pPr>
        <w:pStyle w:val="ListParagraph"/>
        <w:spacing w:line="360" w:lineRule="auto"/>
        <w:ind w:left="360"/>
        <w:rPr>
          <w:rFonts w:ascii="Century Gothic" w:hAnsi="Century Gothic"/>
          <w:bCs/>
          <w:color w:val="002060"/>
          <w:sz w:val="24"/>
          <w:szCs w:val="24"/>
        </w:rPr>
      </w:pPr>
      <w:r w:rsidRPr="004B03C0">
        <w:rPr>
          <w:color w:val="002060"/>
        </w:rPr>
        <w:br w:type="page"/>
      </w:r>
    </w:p>
    <w:p w14:paraId="7DA24C70" w14:textId="4D3C4297" w:rsidR="005515D3" w:rsidRDefault="005515D3" w:rsidP="00E979FB">
      <w:pPr>
        <w:pStyle w:val="ListParagraph"/>
        <w:spacing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70DCC86E" w14:textId="71D6B3E7" w:rsidR="00BB2358" w:rsidRPr="003D0516" w:rsidRDefault="00BB2358" w:rsidP="009E03F4">
      <w:pPr>
        <w:pStyle w:val="ListParagraph"/>
        <w:spacing w:line="240" w:lineRule="auto"/>
        <w:ind w:left="0"/>
        <w:rPr>
          <w:rFonts w:ascii="Century Gothic" w:hAnsi="Century Gothic"/>
          <w:b/>
          <w:color w:val="002060"/>
          <w:sz w:val="24"/>
          <w:szCs w:val="24"/>
        </w:rPr>
      </w:pPr>
      <w:r w:rsidRPr="003D0516">
        <w:rPr>
          <w:rFonts w:ascii="Century Gothic" w:hAnsi="Century Gothic"/>
          <w:b/>
          <w:color w:val="002060"/>
          <w:sz w:val="24"/>
          <w:szCs w:val="24"/>
        </w:rPr>
        <w:t>APPENDIX ONE – STATEMENT OF FINANCIAL ACTIVITIES</w:t>
      </w:r>
    </w:p>
    <w:p w14:paraId="0ABBA5A0" w14:textId="37CAE407" w:rsidR="00BB2358" w:rsidRDefault="007E3DF1" w:rsidP="009E03F4">
      <w:pPr>
        <w:pStyle w:val="ListParagraph"/>
        <w:spacing w:line="240" w:lineRule="auto"/>
        <w:ind w:left="0"/>
        <w:rPr>
          <w:rFonts w:ascii="Century Gothic" w:hAnsi="Century Gothic" w:cs="Arial"/>
          <w:b/>
          <w:snapToGrid w:val="0"/>
          <w:color w:val="002060"/>
          <w:sz w:val="24"/>
          <w:szCs w:val="24"/>
        </w:rPr>
      </w:pPr>
      <w:r>
        <w:rPr>
          <w:rFonts w:ascii="Century Gothic" w:hAnsi="Century Gothic" w:cs="Arial"/>
          <w:b/>
          <w:snapToGrid w:val="0"/>
          <w:color w:val="002060"/>
          <w:sz w:val="24"/>
          <w:szCs w:val="24"/>
        </w:rPr>
        <w:t>For the Year Ended 31 March 2022</w:t>
      </w:r>
    </w:p>
    <w:p w14:paraId="21A02DE3" w14:textId="1A65DF3F" w:rsidR="002949B8" w:rsidRDefault="002949B8" w:rsidP="009E03F4">
      <w:pPr>
        <w:pStyle w:val="ListParagraph"/>
        <w:spacing w:line="240" w:lineRule="auto"/>
        <w:ind w:left="0"/>
        <w:rPr>
          <w:rFonts w:ascii="Century Gothic" w:hAnsi="Century Gothic" w:cs="Arial"/>
          <w:b/>
          <w:snapToGrid w:val="0"/>
          <w:color w:val="002060"/>
          <w:sz w:val="24"/>
          <w:szCs w:val="24"/>
        </w:rPr>
      </w:pPr>
    </w:p>
    <w:p w14:paraId="1BED6EC0" w14:textId="40E0EB50" w:rsidR="00D3676D" w:rsidRDefault="002949B8" w:rsidP="009E03F4">
      <w:pPr>
        <w:pStyle w:val="ListParagraph"/>
        <w:spacing w:line="240" w:lineRule="auto"/>
        <w:ind w:left="0"/>
        <w:rPr>
          <w:rFonts w:ascii="Century Gothic" w:hAnsi="Century Gothic" w:cs="Arial"/>
          <w:b/>
          <w:snapToGrid w:val="0"/>
          <w:color w:val="002060"/>
          <w:sz w:val="24"/>
          <w:szCs w:val="24"/>
        </w:rPr>
      </w:pPr>
      <w:r>
        <w:rPr>
          <w:rFonts w:ascii="Century Gothic" w:hAnsi="Century Gothic" w:cs="Arial"/>
          <w:b/>
          <w:snapToGrid w:val="0"/>
          <w:color w:val="002060"/>
          <w:sz w:val="24"/>
          <w:szCs w:val="24"/>
        </w:rPr>
        <w:t>Dyslexia Scotland</w:t>
      </w:r>
    </w:p>
    <w:p w14:paraId="244137B8" w14:textId="7AD88293" w:rsidR="002949B8" w:rsidRDefault="002949B8" w:rsidP="002949B8">
      <w:pPr>
        <w:pStyle w:val="ListParagraph"/>
        <w:spacing w:after="0" w:line="240" w:lineRule="auto"/>
        <w:ind w:left="0"/>
        <w:rPr>
          <w:rFonts w:ascii="Century Gothic" w:hAnsi="Century Gothic" w:cs="Arial"/>
          <w:b/>
          <w:snapToGrid w:val="0"/>
          <w:color w:val="002060"/>
          <w:sz w:val="24"/>
          <w:szCs w:val="24"/>
        </w:rPr>
      </w:pPr>
      <w:r>
        <w:rPr>
          <w:rFonts w:ascii="Century Gothic" w:hAnsi="Century Gothic" w:cs="Arial"/>
          <w:b/>
          <w:snapToGrid w:val="0"/>
          <w:color w:val="002060"/>
          <w:sz w:val="24"/>
          <w:szCs w:val="24"/>
        </w:rPr>
        <w:t>Statement of Financial Activities</w:t>
      </w:r>
    </w:p>
    <w:p w14:paraId="233239FC" w14:textId="71CA390F" w:rsidR="00D3676D" w:rsidRDefault="002949B8" w:rsidP="002949B8">
      <w:pPr>
        <w:pStyle w:val="ListParagraph"/>
        <w:spacing w:after="0" w:line="240" w:lineRule="auto"/>
        <w:ind w:left="0"/>
        <w:rPr>
          <w:rFonts w:ascii="Century Gothic" w:hAnsi="Century Gothic" w:cs="Arial"/>
          <w:b/>
          <w:snapToGrid w:val="0"/>
          <w:color w:val="002060"/>
          <w:sz w:val="24"/>
          <w:szCs w:val="24"/>
        </w:rPr>
      </w:pPr>
      <w:r>
        <w:rPr>
          <w:rFonts w:ascii="Century Gothic" w:hAnsi="Century Gothic" w:cs="Arial"/>
          <w:b/>
          <w:snapToGrid w:val="0"/>
          <w:color w:val="002060"/>
          <w:sz w:val="24"/>
          <w:szCs w:val="24"/>
        </w:rPr>
        <w:t>Including Income and Expenditure Account</w:t>
      </w:r>
    </w:p>
    <w:p w14:paraId="5A1DA08F" w14:textId="4766111D" w:rsidR="002949B8" w:rsidRDefault="002949B8" w:rsidP="002949B8">
      <w:pPr>
        <w:pStyle w:val="ListParagraph"/>
        <w:spacing w:after="0" w:line="240" w:lineRule="auto"/>
        <w:ind w:left="0"/>
        <w:rPr>
          <w:rFonts w:ascii="Century Gothic" w:hAnsi="Century Gothic" w:cs="Arial"/>
          <w:b/>
          <w:snapToGrid w:val="0"/>
          <w:color w:val="002060"/>
          <w:sz w:val="24"/>
          <w:szCs w:val="24"/>
        </w:rPr>
      </w:pPr>
      <w:r>
        <w:rPr>
          <w:rFonts w:ascii="Century Gothic" w:hAnsi="Century Gothic" w:cs="Arial"/>
          <w:b/>
          <w:snapToGrid w:val="0"/>
          <w:color w:val="002060"/>
          <w:sz w:val="24"/>
          <w:szCs w:val="24"/>
        </w:rPr>
        <w:t>For the year ending 31</w:t>
      </w:r>
      <w:r w:rsidRPr="002949B8">
        <w:rPr>
          <w:rFonts w:ascii="Century Gothic" w:hAnsi="Century Gothic" w:cs="Arial"/>
          <w:b/>
          <w:snapToGrid w:val="0"/>
          <w:color w:val="002060"/>
          <w:sz w:val="24"/>
          <w:szCs w:val="24"/>
          <w:vertAlign w:val="superscript"/>
        </w:rPr>
        <w:t>st</w:t>
      </w:r>
      <w:r>
        <w:rPr>
          <w:rFonts w:ascii="Century Gothic" w:hAnsi="Century Gothic" w:cs="Arial"/>
          <w:b/>
          <w:snapToGrid w:val="0"/>
          <w:color w:val="002060"/>
          <w:sz w:val="24"/>
          <w:szCs w:val="24"/>
        </w:rPr>
        <w:t xml:space="preserve"> March 2022</w:t>
      </w:r>
    </w:p>
    <w:p w14:paraId="75FBF1F3" w14:textId="3DA562B2" w:rsidR="002949B8" w:rsidRDefault="002949B8" w:rsidP="002949B8">
      <w:pPr>
        <w:pStyle w:val="ListParagraph"/>
        <w:spacing w:after="0" w:line="240" w:lineRule="auto"/>
        <w:ind w:left="0"/>
        <w:rPr>
          <w:rFonts w:ascii="Century Gothic" w:hAnsi="Century Gothic" w:cs="Arial"/>
          <w:b/>
          <w:snapToGrid w:val="0"/>
          <w:color w:val="002060"/>
          <w:sz w:val="24"/>
          <w:szCs w:val="24"/>
        </w:rPr>
      </w:pPr>
    </w:p>
    <w:p w14:paraId="3A6DB2E0" w14:textId="4FA8299C" w:rsidR="00D3676D" w:rsidRDefault="002949B8" w:rsidP="009E03F4">
      <w:pPr>
        <w:pStyle w:val="ListParagraph"/>
        <w:spacing w:line="240" w:lineRule="auto"/>
        <w:ind w:left="0"/>
        <w:rPr>
          <w:rFonts w:ascii="Century Gothic" w:hAnsi="Century Gothic" w:cs="Arial"/>
          <w:b/>
          <w:snapToGrid w:val="0"/>
          <w:color w:val="002060"/>
          <w:sz w:val="24"/>
          <w:szCs w:val="24"/>
        </w:rPr>
      </w:pPr>
      <w:r>
        <w:rPr>
          <w:rFonts w:ascii="Century Gothic" w:hAnsi="Century Gothic" w:cs="Arial"/>
          <w:b/>
          <w:snapToGrid w:val="0"/>
          <w:color w:val="002060"/>
          <w:sz w:val="24"/>
          <w:szCs w:val="24"/>
        </w:rPr>
        <w:object w:dxaOrig="9835" w:dyaOrig="6341" w14:anchorId="594538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316.5pt" o:ole="">
            <v:imagedata r:id="rId12" o:title=""/>
          </v:shape>
          <o:OLEObject Type="Embed" ProgID="Excel.Sheet.12" ShapeID="_x0000_i1025" DrawAspect="Content" ObjectID="_1728734948" r:id="rId13"/>
        </w:object>
      </w:r>
    </w:p>
    <w:p w14:paraId="01512E80" w14:textId="22719C66" w:rsidR="002949B8" w:rsidRDefault="002949B8" w:rsidP="009E03F4">
      <w:pPr>
        <w:pStyle w:val="ListParagraph"/>
        <w:spacing w:line="240" w:lineRule="auto"/>
        <w:ind w:left="0"/>
        <w:rPr>
          <w:rFonts w:ascii="Century Gothic" w:hAnsi="Century Gothic" w:cs="Arial"/>
          <w:b/>
          <w:snapToGrid w:val="0"/>
          <w:color w:val="002060"/>
          <w:sz w:val="24"/>
          <w:szCs w:val="24"/>
        </w:rPr>
      </w:pPr>
    </w:p>
    <w:p w14:paraId="7B89BBDC" w14:textId="6F8AAABC" w:rsidR="002949B8" w:rsidRPr="002B7B4C" w:rsidRDefault="002B7B4C" w:rsidP="009E03F4">
      <w:pPr>
        <w:pStyle w:val="ListParagraph"/>
        <w:spacing w:line="240" w:lineRule="auto"/>
        <w:ind w:left="0"/>
        <w:rPr>
          <w:rFonts w:ascii="Century Gothic" w:hAnsi="Century Gothic" w:cs="Arial"/>
          <w:snapToGrid w:val="0"/>
          <w:color w:val="002060"/>
          <w:sz w:val="24"/>
          <w:szCs w:val="24"/>
        </w:rPr>
      </w:pPr>
      <w:r w:rsidRPr="002B7B4C">
        <w:rPr>
          <w:rFonts w:ascii="Century Gothic" w:hAnsi="Century Gothic" w:cs="Arial"/>
          <w:snapToGrid w:val="0"/>
          <w:color w:val="002060"/>
          <w:sz w:val="24"/>
          <w:szCs w:val="24"/>
        </w:rPr>
        <w:t>The statement of financial activities includes all gains and losses recognised in the year.</w:t>
      </w:r>
    </w:p>
    <w:p w14:paraId="35C4E8CE" w14:textId="7DE450F6" w:rsidR="002B7B4C" w:rsidRPr="002B7B4C" w:rsidRDefault="002B7B4C" w:rsidP="009E03F4">
      <w:pPr>
        <w:pStyle w:val="ListParagraph"/>
        <w:spacing w:line="240" w:lineRule="auto"/>
        <w:ind w:left="0"/>
        <w:rPr>
          <w:rFonts w:ascii="Century Gothic" w:hAnsi="Century Gothic" w:cs="Arial"/>
          <w:snapToGrid w:val="0"/>
          <w:color w:val="002060"/>
          <w:sz w:val="24"/>
          <w:szCs w:val="24"/>
        </w:rPr>
      </w:pPr>
      <w:r w:rsidRPr="002B7B4C">
        <w:rPr>
          <w:rFonts w:ascii="Century Gothic" w:hAnsi="Century Gothic" w:cs="Arial"/>
          <w:snapToGrid w:val="0"/>
          <w:color w:val="002060"/>
          <w:sz w:val="24"/>
          <w:szCs w:val="24"/>
        </w:rPr>
        <w:t>All income and expenditure derive from continued activities.</w:t>
      </w:r>
    </w:p>
    <w:p w14:paraId="3B02D85E" w14:textId="2A80B534" w:rsidR="002B7B4C" w:rsidRDefault="002B7B4C" w:rsidP="009E03F4">
      <w:pPr>
        <w:pStyle w:val="ListParagraph"/>
        <w:spacing w:line="240" w:lineRule="auto"/>
        <w:ind w:left="0"/>
        <w:rPr>
          <w:rFonts w:ascii="Century Gothic" w:hAnsi="Century Gothic" w:cs="Arial"/>
          <w:snapToGrid w:val="0"/>
          <w:color w:val="002060"/>
          <w:sz w:val="24"/>
          <w:szCs w:val="24"/>
        </w:rPr>
      </w:pPr>
      <w:r w:rsidRPr="002B7B4C">
        <w:rPr>
          <w:rFonts w:ascii="Century Gothic" w:hAnsi="Century Gothic" w:cs="Arial"/>
          <w:snapToGrid w:val="0"/>
          <w:color w:val="002060"/>
          <w:sz w:val="24"/>
          <w:szCs w:val="24"/>
        </w:rPr>
        <w:t>The statement of financial activities also complies with the requirements for an income and expenditure account under the Companies Act 2006.</w:t>
      </w:r>
    </w:p>
    <w:p w14:paraId="26B45CD1" w14:textId="705977FE" w:rsidR="0014656F" w:rsidRDefault="0014656F">
      <w:pPr>
        <w:rPr>
          <w:rFonts w:ascii="Century Gothic" w:hAnsi="Century Gothic" w:cs="Arial"/>
          <w:snapToGrid w:val="0"/>
          <w:color w:val="002060"/>
          <w:sz w:val="24"/>
          <w:szCs w:val="24"/>
        </w:rPr>
      </w:pPr>
      <w:r>
        <w:rPr>
          <w:rFonts w:ascii="Century Gothic" w:hAnsi="Century Gothic" w:cs="Arial"/>
          <w:snapToGrid w:val="0"/>
          <w:color w:val="002060"/>
          <w:sz w:val="24"/>
          <w:szCs w:val="24"/>
        </w:rPr>
        <w:br w:type="page"/>
      </w:r>
    </w:p>
    <w:p w14:paraId="44E40CCF" w14:textId="619C43DF" w:rsidR="008E7567" w:rsidRDefault="008E7567" w:rsidP="008E7567">
      <w:pPr>
        <w:rPr>
          <w:rFonts w:ascii="Century Gothic" w:hAnsi="Century Gothic"/>
          <w:b/>
          <w:color w:val="002060"/>
          <w:sz w:val="24"/>
          <w:szCs w:val="24"/>
        </w:rPr>
      </w:pPr>
      <w:r w:rsidRPr="003D0516">
        <w:rPr>
          <w:rFonts w:ascii="Century Gothic" w:hAnsi="Century Gothic"/>
          <w:b/>
          <w:color w:val="002060"/>
          <w:sz w:val="24"/>
          <w:szCs w:val="24"/>
        </w:rPr>
        <w:lastRenderedPageBreak/>
        <w:t>APPENDIX TWO – BALANCE SHEET as at 31 March 202</w:t>
      </w:r>
      <w:r>
        <w:rPr>
          <w:rFonts w:ascii="Century Gothic" w:hAnsi="Century Gothic"/>
          <w:b/>
          <w:color w:val="002060"/>
          <w:sz w:val="24"/>
          <w:szCs w:val="24"/>
        </w:rPr>
        <w:t>2</w:t>
      </w:r>
    </w:p>
    <w:p w14:paraId="42E4B5DA" w14:textId="12EA1249" w:rsidR="00A43C25" w:rsidRDefault="00A43C25" w:rsidP="008E7567">
      <w:pPr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Balance Sheet</w:t>
      </w:r>
    </w:p>
    <w:p w14:paraId="38CC2ED2" w14:textId="5FA74C63" w:rsidR="00A43C25" w:rsidRDefault="00A43C25" w:rsidP="008E7567">
      <w:pPr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As at 31</w:t>
      </w:r>
      <w:r w:rsidRPr="00A43C25">
        <w:rPr>
          <w:rFonts w:ascii="Century Gothic" w:hAnsi="Century Gothic"/>
          <w:b/>
          <w:color w:val="002060"/>
          <w:sz w:val="24"/>
          <w:szCs w:val="24"/>
          <w:vertAlign w:val="superscript"/>
        </w:rPr>
        <w:t>st</w:t>
      </w:r>
      <w:r>
        <w:rPr>
          <w:rFonts w:ascii="Century Gothic" w:hAnsi="Century Gothic"/>
          <w:b/>
          <w:color w:val="002060"/>
          <w:sz w:val="24"/>
          <w:szCs w:val="24"/>
        </w:rPr>
        <w:t xml:space="preserve"> March 2022</w:t>
      </w:r>
    </w:p>
    <w:p w14:paraId="4ECED333" w14:textId="77777777" w:rsidR="00A43C25" w:rsidRDefault="00A43C25" w:rsidP="009E03F4">
      <w:pPr>
        <w:pStyle w:val="ListParagraph"/>
        <w:spacing w:line="240" w:lineRule="auto"/>
        <w:ind w:left="0"/>
        <w:rPr>
          <w:rFonts w:ascii="Century Gothic" w:hAnsi="Century Gothic" w:cs="Arial"/>
          <w:snapToGrid w:val="0"/>
          <w:color w:val="002060"/>
          <w:sz w:val="24"/>
          <w:szCs w:val="24"/>
        </w:rPr>
      </w:pPr>
    </w:p>
    <w:p w14:paraId="335D42B6" w14:textId="6E1C4D4F" w:rsidR="0014656F" w:rsidRDefault="00A43C25" w:rsidP="009E03F4">
      <w:pPr>
        <w:pStyle w:val="ListParagraph"/>
        <w:spacing w:line="240" w:lineRule="auto"/>
        <w:ind w:left="0"/>
        <w:rPr>
          <w:rFonts w:ascii="Century Gothic" w:hAnsi="Century Gothic" w:cs="Arial"/>
          <w:snapToGrid w:val="0"/>
          <w:color w:val="002060"/>
          <w:sz w:val="24"/>
          <w:szCs w:val="24"/>
        </w:rPr>
      </w:pPr>
      <w:r>
        <w:rPr>
          <w:rFonts w:ascii="Century Gothic" w:hAnsi="Century Gothic" w:cs="Arial"/>
          <w:snapToGrid w:val="0"/>
          <w:color w:val="002060"/>
          <w:sz w:val="24"/>
          <w:szCs w:val="24"/>
        </w:rPr>
        <w:object w:dxaOrig="9478" w:dyaOrig="5066" w14:anchorId="10E2F6A2">
          <v:shape id="_x0000_i1026" type="#_x0000_t75" style="width:474pt;height:253.5pt" o:ole="">
            <v:imagedata r:id="rId14" o:title=""/>
          </v:shape>
          <o:OLEObject Type="Embed" ProgID="Excel.Sheet.12" ShapeID="_x0000_i1026" DrawAspect="Content" ObjectID="_1728734949" r:id="rId15"/>
        </w:object>
      </w:r>
    </w:p>
    <w:p w14:paraId="645CD078" w14:textId="6F891CF9" w:rsidR="00A43C25" w:rsidRDefault="00A43C25" w:rsidP="009E03F4">
      <w:pPr>
        <w:pStyle w:val="ListParagraph"/>
        <w:spacing w:line="240" w:lineRule="auto"/>
        <w:ind w:left="0"/>
        <w:rPr>
          <w:rFonts w:ascii="Century Gothic" w:hAnsi="Century Gothic" w:cs="Arial"/>
          <w:snapToGrid w:val="0"/>
          <w:color w:val="002060"/>
          <w:sz w:val="24"/>
          <w:szCs w:val="24"/>
        </w:rPr>
      </w:pPr>
    </w:p>
    <w:p w14:paraId="7A29674D" w14:textId="77777777" w:rsidR="00A43C25" w:rsidRDefault="00A43C25" w:rsidP="009E03F4">
      <w:pPr>
        <w:pStyle w:val="ListParagraph"/>
        <w:spacing w:line="240" w:lineRule="auto"/>
        <w:ind w:left="0"/>
        <w:rPr>
          <w:rFonts w:ascii="Century Gothic" w:hAnsi="Century Gothic" w:cs="Arial"/>
          <w:snapToGrid w:val="0"/>
          <w:color w:val="002060"/>
          <w:sz w:val="24"/>
          <w:szCs w:val="24"/>
        </w:rPr>
      </w:pPr>
    </w:p>
    <w:p w14:paraId="0C8ED74A" w14:textId="5E196F61" w:rsidR="00A43C25" w:rsidRDefault="00A43C25" w:rsidP="009E03F4">
      <w:pPr>
        <w:pStyle w:val="ListParagraph"/>
        <w:spacing w:line="240" w:lineRule="auto"/>
        <w:ind w:left="0"/>
        <w:rPr>
          <w:rFonts w:ascii="Century Gothic" w:hAnsi="Century Gothic" w:cs="Arial"/>
          <w:snapToGrid w:val="0"/>
          <w:color w:val="002060"/>
          <w:sz w:val="24"/>
          <w:szCs w:val="24"/>
        </w:rPr>
      </w:pPr>
      <w:r>
        <w:rPr>
          <w:rFonts w:ascii="Century Gothic" w:hAnsi="Century Gothic" w:cs="Arial"/>
          <w:snapToGrid w:val="0"/>
          <w:color w:val="002060"/>
          <w:sz w:val="24"/>
          <w:szCs w:val="24"/>
        </w:rPr>
        <w:t>These financial statements have been prepared in accordance with the provisions to companies subject to the small companies regime.</w:t>
      </w:r>
    </w:p>
    <w:p w14:paraId="10D2BBC6" w14:textId="058FB44B" w:rsidR="00A43C25" w:rsidRDefault="00A43C25" w:rsidP="009E03F4">
      <w:pPr>
        <w:pStyle w:val="ListParagraph"/>
        <w:spacing w:line="240" w:lineRule="auto"/>
        <w:ind w:left="0"/>
        <w:rPr>
          <w:rFonts w:ascii="Century Gothic" w:hAnsi="Century Gothic" w:cs="Arial"/>
          <w:snapToGrid w:val="0"/>
          <w:color w:val="002060"/>
          <w:sz w:val="24"/>
          <w:szCs w:val="24"/>
        </w:rPr>
      </w:pPr>
      <w:r>
        <w:rPr>
          <w:rFonts w:ascii="Century Gothic" w:hAnsi="Century Gothic" w:cs="Arial"/>
          <w:snapToGrid w:val="0"/>
          <w:color w:val="002060"/>
          <w:sz w:val="24"/>
          <w:szCs w:val="24"/>
        </w:rPr>
        <w:t>The financial statements were approved by the Trustees on 31</w:t>
      </w:r>
      <w:r w:rsidRPr="00A43C25">
        <w:rPr>
          <w:rFonts w:ascii="Century Gothic" w:hAnsi="Century Gothic" w:cs="Arial"/>
          <w:snapToGrid w:val="0"/>
          <w:color w:val="002060"/>
          <w:sz w:val="24"/>
          <w:szCs w:val="24"/>
          <w:vertAlign w:val="superscript"/>
        </w:rPr>
        <w:t>st</w:t>
      </w:r>
      <w:r>
        <w:rPr>
          <w:rFonts w:ascii="Century Gothic" w:hAnsi="Century Gothic" w:cs="Arial"/>
          <w:snapToGrid w:val="0"/>
          <w:color w:val="002060"/>
          <w:sz w:val="24"/>
          <w:szCs w:val="24"/>
        </w:rPr>
        <w:t xml:space="preserve"> August 2022.</w:t>
      </w:r>
    </w:p>
    <w:p w14:paraId="7504619B" w14:textId="442178A3" w:rsidR="00A43C25" w:rsidRDefault="00A43C25" w:rsidP="009E03F4">
      <w:pPr>
        <w:pStyle w:val="ListParagraph"/>
        <w:spacing w:line="240" w:lineRule="auto"/>
        <w:ind w:left="0"/>
        <w:rPr>
          <w:rFonts w:ascii="Century Gothic" w:hAnsi="Century Gothic" w:cs="Arial"/>
          <w:snapToGrid w:val="0"/>
          <w:color w:val="002060"/>
          <w:sz w:val="24"/>
          <w:szCs w:val="24"/>
        </w:rPr>
      </w:pPr>
    </w:p>
    <w:p w14:paraId="531DCC79" w14:textId="0E5D8D45" w:rsidR="00A43C25" w:rsidRDefault="00DE1E03" w:rsidP="009E03F4">
      <w:pPr>
        <w:pStyle w:val="ListParagraph"/>
        <w:spacing w:line="240" w:lineRule="auto"/>
        <w:ind w:left="0"/>
        <w:rPr>
          <w:rFonts w:ascii="Century Gothic" w:hAnsi="Century Gothic" w:cs="Arial"/>
          <w:snapToGrid w:val="0"/>
          <w:color w:val="002060"/>
          <w:sz w:val="24"/>
          <w:szCs w:val="24"/>
        </w:rPr>
      </w:pPr>
      <w:r w:rsidRPr="00DE1E03">
        <w:rPr>
          <w:rFonts w:ascii="Century Gothic" w:hAnsi="Century Gothic" w:cs="Arial"/>
          <w:noProof/>
          <w:snapToGrid w:val="0"/>
          <w:color w:val="002060"/>
          <w:sz w:val="24"/>
          <w:szCs w:val="24"/>
          <w:lang w:eastAsia="en-GB"/>
        </w:rPr>
        <w:drawing>
          <wp:inline distT="0" distB="0" distL="0" distR="0" wp14:anchorId="36014A49" wp14:editId="6A8BB187">
            <wp:extent cx="2847975" cy="1466850"/>
            <wp:effectExtent l="0" t="0" r="9525" b="0"/>
            <wp:docPr id="1" name="Picture 1" descr="C:\Users\cathym\Dyslexia Scotland\Dyslexia Scotland - Documents\Governance\Board of Directors\Signatures\David Shaw's 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ym\Dyslexia Scotland\Dyslexia Scotland - Documents\Governance\Board of Directors\Signatures\David Shaw's Signature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316FFC" w14:textId="3CA81321" w:rsidR="00A43C25" w:rsidRDefault="00A43C25" w:rsidP="00A43C25">
      <w:pPr>
        <w:pStyle w:val="ListParagraph"/>
        <w:spacing w:after="0" w:line="240" w:lineRule="auto"/>
        <w:ind w:left="0"/>
        <w:rPr>
          <w:rFonts w:ascii="Century Gothic" w:hAnsi="Century Gothic" w:cs="Arial"/>
          <w:snapToGrid w:val="0"/>
          <w:color w:val="002060"/>
          <w:sz w:val="24"/>
          <w:szCs w:val="24"/>
        </w:rPr>
      </w:pPr>
      <w:r>
        <w:rPr>
          <w:rFonts w:ascii="Century Gothic" w:hAnsi="Century Gothic" w:cs="Arial"/>
          <w:snapToGrid w:val="0"/>
          <w:color w:val="002060"/>
          <w:sz w:val="24"/>
          <w:szCs w:val="24"/>
        </w:rPr>
        <w:t>Mr D. Shaw</w:t>
      </w:r>
    </w:p>
    <w:p w14:paraId="19B0CDDC" w14:textId="03D1CDB4" w:rsidR="00A43C25" w:rsidRPr="00A43C25" w:rsidRDefault="00A43C25" w:rsidP="00A43C25">
      <w:pPr>
        <w:pStyle w:val="ListParagraph"/>
        <w:spacing w:after="0" w:line="240" w:lineRule="auto"/>
        <w:ind w:left="0"/>
        <w:rPr>
          <w:rFonts w:ascii="Century Gothic" w:hAnsi="Century Gothic" w:cs="Arial"/>
          <w:b/>
          <w:snapToGrid w:val="0"/>
          <w:color w:val="002060"/>
          <w:sz w:val="24"/>
          <w:szCs w:val="24"/>
        </w:rPr>
      </w:pPr>
      <w:r w:rsidRPr="00A43C25">
        <w:rPr>
          <w:rFonts w:ascii="Century Gothic" w:hAnsi="Century Gothic" w:cs="Arial"/>
          <w:b/>
          <w:snapToGrid w:val="0"/>
          <w:color w:val="002060"/>
          <w:sz w:val="24"/>
          <w:szCs w:val="24"/>
        </w:rPr>
        <w:t>Trustee</w:t>
      </w:r>
    </w:p>
    <w:p w14:paraId="22CD15C2" w14:textId="7DBC5945" w:rsidR="00A43C25" w:rsidRPr="002B7B4C" w:rsidRDefault="00A43C25" w:rsidP="00A43C25">
      <w:pPr>
        <w:pStyle w:val="ListParagraph"/>
        <w:spacing w:after="0" w:line="240" w:lineRule="auto"/>
        <w:ind w:left="0"/>
        <w:rPr>
          <w:rFonts w:ascii="Century Gothic" w:hAnsi="Century Gothic" w:cs="Arial"/>
          <w:snapToGrid w:val="0"/>
          <w:color w:val="002060"/>
          <w:sz w:val="24"/>
          <w:szCs w:val="24"/>
        </w:rPr>
      </w:pPr>
      <w:r>
        <w:rPr>
          <w:rFonts w:ascii="Century Gothic" w:hAnsi="Century Gothic" w:cs="Arial"/>
          <w:snapToGrid w:val="0"/>
          <w:color w:val="002060"/>
          <w:sz w:val="24"/>
          <w:szCs w:val="24"/>
        </w:rPr>
        <w:t>Company registration number SC153321</w:t>
      </w:r>
    </w:p>
    <w:sectPr w:rsidR="00A43C25" w:rsidRPr="002B7B4C" w:rsidSect="003F5C6B">
      <w:footerReference w:type="default" r:id="rId17"/>
      <w:pgSz w:w="11906" w:h="16838" w:code="9"/>
      <w:pgMar w:top="1134" w:right="1134" w:bottom="1134" w:left="1134" w:header="709" w:footer="709" w:gutter="0"/>
      <w:paperSrc w:first="9138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DA3D8" w14:textId="77777777" w:rsidR="00E92CD9" w:rsidRDefault="00E92CD9" w:rsidP="00A874B0">
      <w:pPr>
        <w:spacing w:after="0" w:line="240" w:lineRule="auto"/>
      </w:pPr>
      <w:r>
        <w:separator/>
      </w:r>
    </w:p>
  </w:endnote>
  <w:endnote w:type="continuationSeparator" w:id="0">
    <w:p w14:paraId="06F3E27D" w14:textId="77777777" w:rsidR="00E92CD9" w:rsidRDefault="00E92CD9" w:rsidP="00A8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536"/>
      <w:docPartObj>
        <w:docPartGallery w:val="Page Numbers (Bottom of Page)"/>
        <w:docPartUnique/>
      </w:docPartObj>
    </w:sdtPr>
    <w:sdtEndPr/>
    <w:sdtContent>
      <w:p w14:paraId="0373A263" w14:textId="095CEA85" w:rsidR="00A874B0" w:rsidRDefault="00A54CE6">
        <w:pPr>
          <w:pStyle w:val="Footer"/>
          <w:jc w:val="center"/>
        </w:pPr>
        <w:r>
          <w:rPr>
            <w:noProof/>
          </w:rPr>
          <w:fldChar w:fldCharType="begin"/>
        </w:r>
        <w:r w:rsidR="0095566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1B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296551" w14:textId="77777777" w:rsidR="00A874B0" w:rsidRDefault="00A8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AD8B2" w14:textId="77777777" w:rsidR="00E92CD9" w:rsidRDefault="00E92CD9" w:rsidP="00A874B0">
      <w:pPr>
        <w:spacing w:after="0" w:line="240" w:lineRule="auto"/>
      </w:pPr>
      <w:r>
        <w:separator/>
      </w:r>
    </w:p>
  </w:footnote>
  <w:footnote w:type="continuationSeparator" w:id="0">
    <w:p w14:paraId="18EBBD68" w14:textId="77777777" w:rsidR="00E92CD9" w:rsidRDefault="00E92CD9" w:rsidP="00A87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6AE3"/>
    <w:multiLevelType w:val="hybridMultilevel"/>
    <w:tmpl w:val="5634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E72470"/>
    <w:multiLevelType w:val="hybridMultilevel"/>
    <w:tmpl w:val="7382D65A"/>
    <w:lvl w:ilvl="0" w:tplc="3D3A2756">
      <w:numFmt w:val="bullet"/>
      <w:lvlText w:val="-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D106E22"/>
    <w:multiLevelType w:val="hybridMultilevel"/>
    <w:tmpl w:val="50D8F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546AC6"/>
    <w:multiLevelType w:val="hybridMultilevel"/>
    <w:tmpl w:val="D9C033FE"/>
    <w:lvl w:ilvl="0" w:tplc="08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42A152BB"/>
    <w:multiLevelType w:val="hybridMultilevel"/>
    <w:tmpl w:val="C67C1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C6271B"/>
    <w:multiLevelType w:val="hybridMultilevel"/>
    <w:tmpl w:val="6E542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17EF7"/>
    <w:multiLevelType w:val="hybridMultilevel"/>
    <w:tmpl w:val="27FA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56BCC"/>
    <w:multiLevelType w:val="hybridMultilevel"/>
    <w:tmpl w:val="5F9C5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F7"/>
    <w:rsid w:val="00000572"/>
    <w:rsid w:val="00000FBF"/>
    <w:rsid w:val="000029A4"/>
    <w:rsid w:val="00004390"/>
    <w:rsid w:val="00004FFF"/>
    <w:rsid w:val="00005457"/>
    <w:rsid w:val="000076ED"/>
    <w:rsid w:val="000079AC"/>
    <w:rsid w:val="00007F2F"/>
    <w:rsid w:val="0001390D"/>
    <w:rsid w:val="000161B6"/>
    <w:rsid w:val="00016C9A"/>
    <w:rsid w:val="00020590"/>
    <w:rsid w:val="00020B29"/>
    <w:rsid w:val="00022955"/>
    <w:rsid w:val="00025F3D"/>
    <w:rsid w:val="000306A0"/>
    <w:rsid w:val="00032F55"/>
    <w:rsid w:val="000332AD"/>
    <w:rsid w:val="00033B57"/>
    <w:rsid w:val="00037A08"/>
    <w:rsid w:val="000437E8"/>
    <w:rsid w:val="00044655"/>
    <w:rsid w:val="00044AF3"/>
    <w:rsid w:val="00044D2F"/>
    <w:rsid w:val="00047938"/>
    <w:rsid w:val="00050399"/>
    <w:rsid w:val="00050D29"/>
    <w:rsid w:val="00051B37"/>
    <w:rsid w:val="00052A53"/>
    <w:rsid w:val="0005370F"/>
    <w:rsid w:val="00056192"/>
    <w:rsid w:val="00060113"/>
    <w:rsid w:val="0006071E"/>
    <w:rsid w:val="00062557"/>
    <w:rsid w:val="00062BA1"/>
    <w:rsid w:val="00063C0B"/>
    <w:rsid w:val="000665EE"/>
    <w:rsid w:val="000675F2"/>
    <w:rsid w:val="00067975"/>
    <w:rsid w:val="0007139F"/>
    <w:rsid w:val="000757F0"/>
    <w:rsid w:val="00077C10"/>
    <w:rsid w:val="0008466A"/>
    <w:rsid w:val="00084B43"/>
    <w:rsid w:val="00090FC3"/>
    <w:rsid w:val="00091F6D"/>
    <w:rsid w:val="00093630"/>
    <w:rsid w:val="0009495B"/>
    <w:rsid w:val="00095D9C"/>
    <w:rsid w:val="00095E73"/>
    <w:rsid w:val="00096D1F"/>
    <w:rsid w:val="00096E26"/>
    <w:rsid w:val="000977B0"/>
    <w:rsid w:val="000A27C1"/>
    <w:rsid w:val="000A7D74"/>
    <w:rsid w:val="000A7FA0"/>
    <w:rsid w:val="000B3DD9"/>
    <w:rsid w:val="000B7294"/>
    <w:rsid w:val="000C0F1A"/>
    <w:rsid w:val="000C208E"/>
    <w:rsid w:val="000C3B4C"/>
    <w:rsid w:val="000C4285"/>
    <w:rsid w:val="000C4C96"/>
    <w:rsid w:val="000C706F"/>
    <w:rsid w:val="000D2668"/>
    <w:rsid w:val="000D2FF2"/>
    <w:rsid w:val="000D7B3B"/>
    <w:rsid w:val="000E0A60"/>
    <w:rsid w:val="000E1A36"/>
    <w:rsid w:val="000E40A9"/>
    <w:rsid w:val="000E55A9"/>
    <w:rsid w:val="000F0FF5"/>
    <w:rsid w:val="000F101A"/>
    <w:rsid w:val="000F67B6"/>
    <w:rsid w:val="000F6DFC"/>
    <w:rsid w:val="00103F3F"/>
    <w:rsid w:val="00104668"/>
    <w:rsid w:val="00104C45"/>
    <w:rsid w:val="00106F52"/>
    <w:rsid w:val="00107A9C"/>
    <w:rsid w:val="00110572"/>
    <w:rsid w:val="00112B66"/>
    <w:rsid w:val="00112EAF"/>
    <w:rsid w:val="00112F26"/>
    <w:rsid w:val="00120978"/>
    <w:rsid w:val="00125988"/>
    <w:rsid w:val="00131316"/>
    <w:rsid w:val="001342AC"/>
    <w:rsid w:val="00137397"/>
    <w:rsid w:val="0014113D"/>
    <w:rsid w:val="00144488"/>
    <w:rsid w:val="0014656F"/>
    <w:rsid w:val="00146F48"/>
    <w:rsid w:val="00150B8B"/>
    <w:rsid w:val="0015412F"/>
    <w:rsid w:val="00154DA7"/>
    <w:rsid w:val="001575E1"/>
    <w:rsid w:val="00157814"/>
    <w:rsid w:val="00160027"/>
    <w:rsid w:val="0016151A"/>
    <w:rsid w:val="00167ACF"/>
    <w:rsid w:val="00167CEA"/>
    <w:rsid w:val="001714C9"/>
    <w:rsid w:val="001718CC"/>
    <w:rsid w:val="0017466A"/>
    <w:rsid w:val="00174820"/>
    <w:rsid w:val="00175F2B"/>
    <w:rsid w:val="00176853"/>
    <w:rsid w:val="001769CC"/>
    <w:rsid w:val="00176D78"/>
    <w:rsid w:val="00176E7E"/>
    <w:rsid w:val="001771CE"/>
    <w:rsid w:val="00180351"/>
    <w:rsid w:val="00183184"/>
    <w:rsid w:val="001855B8"/>
    <w:rsid w:val="00190358"/>
    <w:rsid w:val="001904BB"/>
    <w:rsid w:val="0019086B"/>
    <w:rsid w:val="00190C72"/>
    <w:rsid w:val="0019145C"/>
    <w:rsid w:val="00194A75"/>
    <w:rsid w:val="001973C3"/>
    <w:rsid w:val="001975F2"/>
    <w:rsid w:val="001A086B"/>
    <w:rsid w:val="001A2C51"/>
    <w:rsid w:val="001A3CB1"/>
    <w:rsid w:val="001A3F1A"/>
    <w:rsid w:val="001B1B68"/>
    <w:rsid w:val="001B1E2F"/>
    <w:rsid w:val="001B2608"/>
    <w:rsid w:val="001B2ACB"/>
    <w:rsid w:val="001B4F9E"/>
    <w:rsid w:val="001B53BF"/>
    <w:rsid w:val="001B756C"/>
    <w:rsid w:val="001B788F"/>
    <w:rsid w:val="001C09D3"/>
    <w:rsid w:val="001C22F2"/>
    <w:rsid w:val="001C2DC9"/>
    <w:rsid w:val="001C4561"/>
    <w:rsid w:val="001C4A8B"/>
    <w:rsid w:val="001C5B29"/>
    <w:rsid w:val="001C73AF"/>
    <w:rsid w:val="001D0F10"/>
    <w:rsid w:val="001D2E41"/>
    <w:rsid w:val="001D576F"/>
    <w:rsid w:val="001E266F"/>
    <w:rsid w:val="001E6D6A"/>
    <w:rsid w:val="001F0C32"/>
    <w:rsid w:val="001F370C"/>
    <w:rsid w:val="001F5345"/>
    <w:rsid w:val="001F7ACD"/>
    <w:rsid w:val="001F7F9C"/>
    <w:rsid w:val="00203C2C"/>
    <w:rsid w:val="00204028"/>
    <w:rsid w:val="00204DED"/>
    <w:rsid w:val="00205F50"/>
    <w:rsid w:val="002079DD"/>
    <w:rsid w:val="00207DF3"/>
    <w:rsid w:val="0021195E"/>
    <w:rsid w:val="00212EB0"/>
    <w:rsid w:val="002145BE"/>
    <w:rsid w:val="002152D4"/>
    <w:rsid w:val="0021703C"/>
    <w:rsid w:val="002236A9"/>
    <w:rsid w:val="00224C95"/>
    <w:rsid w:val="002263A3"/>
    <w:rsid w:val="002314DD"/>
    <w:rsid w:val="002321DB"/>
    <w:rsid w:val="0024261A"/>
    <w:rsid w:val="00245E34"/>
    <w:rsid w:val="00250690"/>
    <w:rsid w:val="002526A8"/>
    <w:rsid w:val="002539C4"/>
    <w:rsid w:val="00253D00"/>
    <w:rsid w:val="0026023D"/>
    <w:rsid w:val="00261439"/>
    <w:rsid w:val="002655E2"/>
    <w:rsid w:val="00265915"/>
    <w:rsid w:val="00267DDA"/>
    <w:rsid w:val="002707FE"/>
    <w:rsid w:val="002718B5"/>
    <w:rsid w:val="00273050"/>
    <w:rsid w:val="002733EE"/>
    <w:rsid w:val="00274BE9"/>
    <w:rsid w:val="00275D3C"/>
    <w:rsid w:val="00276B50"/>
    <w:rsid w:val="0027796D"/>
    <w:rsid w:val="00280795"/>
    <w:rsid w:val="00280FA2"/>
    <w:rsid w:val="00286311"/>
    <w:rsid w:val="002864C5"/>
    <w:rsid w:val="00286E1E"/>
    <w:rsid w:val="00290F9B"/>
    <w:rsid w:val="00292AE2"/>
    <w:rsid w:val="002940AE"/>
    <w:rsid w:val="002949B8"/>
    <w:rsid w:val="00294AF4"/>
    <w:rsid w:val="0029607F"/>
    <w:rsid w:val="002A131D"/>
    <w:rsid w:val="002A1947"/>
    <w:rsid w:val="002A7F51"/>
    <w:rsid w:val="002B0D63"/>
    <w:rsid w:val="002B0FF0"/>
    <w:rsid w:val="002B113C"/>
    <w:rsid w:val="002B3447"/>
    <w:rsid w:val="002B48BF"/>
    <w:rsid w:val="002B5B86"/>
    <w:rsid w:val="002B5F1F"/>
    <w:rsid w:val="002B720F"/>
    <w:rsid w:val="002B792F"/>
    <w:rsid w:val="002B7B4C"/>
    <w:rsid w:val="002C164C"/>
    <w:rsid w:val="002C1967"/>
    <w:rsid w:val="002C2EC9"/>
    <w:rsid w:val="002C3422"/>
    <w:rsid w:val="002C42E2"/>
    <w:rsid w:val="002C6BD2"/>
    <w:rsid w:val="002D0C69"/>
    <w:rsid w:val="002D1521"/>
    <w:rsid w:val="002D1EC2"/>
    <w:rsid w:val="002D6B22"/>
    <w:rsid w:val="002E0D99"/>
    <w:rsid w:val="002E0DB4"/>
    <w:rsid w:val="002E1B0D"/>
    <w:rsid w:val="002E3711"/>
    <w:rsid w:val="002E450B"/>
    <w:rsid w:val="002E6F7B"/>
    <w:rsid w:val="002F1487"/>
    <w:rsid w:val="002F3A43"/>
    <w:rsid w:val="002F50F9"/>
    <w:rsid w:val="002F706E"/>
    <w:rsid w:val="003033AF"/>
    <w:rsid w:val="00305214"/>
    <w:rsid w:val="00306C2C"/>
    <w:rsid w:val="00312285"/>
    <w:rsid w:val="00312F7B"/>
    <w:rsid w:val="003145D9"/>
    <w:rsid w:val="00314E32"/>
    <w:rsid w:val="0031769B"/>
    <w:rsid w:val="00322FD1"/>
    <w:rsid w:val="00323A8F"/>
    <w:rsid w:val="003244F5"/>
    <w:rsid w:val="00326BEA"/>
    <w:rsid w:val="00327002"/>
    <w:rsid w:val="003273BB"/>
    <w:rsid w:val="0033173C"/>
    <w:rsid w:val="003323E0"/>
    <w:rsid w:val="003328CA"/>
    <w:rsid w:val="003331EC"/>
    <w:rsid w:val="003356CB"/>
    <w:rsid w:val="003360D5"/>
    <w:rsid w:val="0033740F"/>
    <w:rsid w:val="00340DEE"/>
    <w:rsid w:val="00341D26"/>
    <w:rsid w:val="003451C0"/>
    <w:rsid w:val="00346446"/>
    <w:rsid w:val="00346FD8"/>
    <w:rsid w:val="00354910"/>
    <w:rsid w:val="00360F00"/>
    <w:rsid w:val="003617FD"/>
    <w:rsid w:val="00363E94"/>
    <w:rsid w:val="00370C13"/>
    <w:rsid w:val="00370EC5"/>
    <w:rsid w:val="00372509"/>
    <w:rsid w:val="00374D24"/>
    <w:rsid w:val="00376258"/>
    <w:rsid w:val="0038507B"/>
    <w:rsid w:val="003856F6"/>
    <w:rsid w:val="00387257"/>
    <w:rsid w:val="00391727"/>
    <w:rsid w:val="00391D92"/>
    <w:rsid w:val="003A115F"/>
    <w:rsid w:val="003A366E"/>
    <w:rsid w:val="003A38AD"/>
    <w:rsid w:val="003A4C4F"/>
    <w:rsid w:val="003B1734"/>
    <w:rsid w:val="003B2C1F"/>
    <w:rsid w:val="003B2D18"/>
    <w:rsid w:val="003B3E09"/>
    <w:rsid w:val="003B4E8E"/>
    <w:rsid w:val="003B5752"/>
    <w:rsid w:val="003B5A87"/>
    <w:rsid w:val="003B5EBB"/>
    <w:rsid w:val="003B6860"/>
    <w:rsid w:val="003C0B63"/>
    <w:rsid w:val="003C2C4B"/>
    <w:rsid w:val="003C38D2"/>
    <w:rsid w:val="003C4520"/>
    <w:rsid w:val="003C6BCC"/>
    <w:rsid w:val="003C713D"/>
    <w:rsid w:val="003D0516"/>
    <w:rsid w:val="003D6192"/>
    <w:rsid w:val="003D67A5"/>
    <w:rsid w:val="003D7A60"/>
    <w:rsid w:val="003E069A"/>
    <w:rsid w:val="003E0A2B"/>
    <w:rsid w:val="003E0C47"/>
    <w:rsid w:val="003E1125"/>
    <w:rsid w:val="003E336A"/>
    <w:rsid w:val="003E39A5"/>
    <w:rsid w:val="003E6566"/>
    <w:rsid w:val="003E6BE8"/>
    <w:rsid w:val="003F01D2"/>
    <w:rsid w:val="003F2A3A"/>
    <w:rsid w:val="003F5C6B"/>
    <w:rsid w:val="003F62D6"/>
    <w:rsid w:val="003F7E73"/>
    <w:rsid w:val="00400DE7"/>
    <w:rsid w:val="00403807"/>
    <w:rsid w:val="0040478E"/>
    <w:rsid w:val="004057F4"/>
    <w:rsid w:val="00407660"/>
    <w:rsid w:val="0040780F"/>
    <w:rsid w:val="0041004F"/>
    <w:rsid w:val="00415BD8"/>
    <w:rsid w:val="0042117B"/>
    <w:rsid w:val="00422173"/>
    <w:rsid w:val="00422A90"/>
    <w:rsid w:val="004247EB"/>
    <w:rsid w:val="00426A55"/>
    <w:rsid w:val="004308ED"/>
    <w:rsid w:val="00431EB0"/>
    <w:rsid w:val="00434798"/>
    <w:rsid w:val="004411BB"/>
    <w:rsid w:val="00442B65"/>
    <w:rsid w:val="00443546"/>
    <w:rsid w:val="004447CE"/>
    <w:rsid w:val="00450BE8"/>
    <w:rsid w:val="00451BDA"/>
    <w:rsid w:val="004550F5"/>
    <w:rsid w:val="00456237"/>
    <w:rsid w:val="00461E67"/>
    <w:rsid w:val="004660D8"/>
    <w:rsid w:val="00467570"/>
    <w:rsid w:val="004677DA"/>
    <w:rsid w:val="00470CD8"/>
    <w:rsid w:val="00472A26"/>
    <w:rsid w:val="0047301F"/>
    <w:rsid w:val="00473838"/>
    <w:rsid w:val="00474985"/>
    <w:rsid w:val="00474F5A"/>
    <w:rsid w:val="004758F8"/>
    <w:rsid w:val="00477013"/>
    <w:rsid w:val="004817B1"/>
    <w:rsid w:val="00482B8A"/>
    <w:rsid w:val="004844BC"/>
    <w:rsid w:val="004847C7"/>
    <w:rsid w:val="004847EB"/>
    <w:rsid w:val="00484EC5"/>
    <w:rsid w:val="00485B89"/>
    <w:rsid w:val="00486041"/>
    <w:rsid w:val="0048735A"/>
    <w:rsid w:val="00495387"/>
    <w:rsid w:val="004A2D34"/>
    <w:rsid w:val="004A4324"/>
    <w:rsid w:val="004A7121"/>
    <w:rsid w:val="004B03C0"/>
    <w:rsid w:val="004B25DE"/>
    <w:rsid w:val="004B38D5"/>
    <w:rsid w:val="004B533B"/>
    <w:rsid w:val="004B6349"/>
    <w:rsid w:val="004B6C32"/>
    <w:rsid w:val="004B6F61"/>
    <w:rsid w:val="004C261D"/>
    <w:rsid w:val="004C283B"/>
    <w:rsid w:val="004C2F2C"/>
    <w:rsid w:val="004C5F70"/>
    <w:rsid w:val="004C7EF3"/>
    <w:rsid w:val="004D0BA6"/>
    <w:rsid w:val="004D2E9D"/>
    <w:rsid w:val="004D6D7F"/>
    <w:rsid w:val="004E18C5"/>
    <w:rsid w:val="004E1E66"/>
    <w:rsid w:val="004E2446"/>
    <w:rsid w:val="004E28EE"/>
    <w:rsid w:val="004E3658"/>
    <w:rsid w:val="004E5B53"/>
    <w:rsid w:val="004E6117"/>
    <w:rsid w:val="004E64E7"/>
    <w:rsid w:val="004E6D20"/>
    <w:rsid w:val="004E7160"/>
    <w:rsid w:val="004E72CC"/>
    <w:rsid w:val="004F0CBC"/>
    <w:rsid w:val="004F123E"/>
    <w:rsid w:val="004F2AE2"/>
    <w:rsid w:val="004F372E"/>
    <w:rsid w:val="004F61CF"/>
    <w:rsid w:val="004F64E7"/>
    <w:rsid w:val="004F765A"/>
    <w:rsid w:val="00503015"/>
    <w:rsid w:val="00504013"/>
    <w:rsid w:val="00506AA6"/>
    <w:rsid w:val="00506DC6"/>
    <w:rsid w:val="005102EE"/>
    <w:rsid w:val="00510C95"/>
    <w:rsid w:val="00510FE9"/>
    <w:rsid w:val="00512254"/>
    <w:rsid w:val="005125B2"/>
    <w:rsid w:val="00512CA4"/>
    <w:rsid w:val="005133CF"/>
    <w:rsid w:val="005134E4"/>
    <w:rsid w:val="00513F0E"/>
    <w:rsid w:val="00517664"/>
    <w:rsid w:val="00520FF0"/>
    <w:rsid w:val="00523047"/>
    <w:rsid w:val="00523858"/>
    <w:rsid w:val="00527133"/>
    <w:rsid w:val="005277DC"/>
    <w:rsid w:val="0053015B"/>
    <w:rsid w:val="00531684"/>
    <w:rsid w:val="005319DF"/>
    <w:rsid w:val="00532313"/>
    <w:rsid w:val="00532EBD"/>
    <w:rsid w:val="00535184"/>
    <w:rsid w:val="00537523"/>
    <w:rsid w:val="00537684"/>
    <w:rsid w:val="00541FE5"/>
    <w:rsid w:val="005421DC"/>
    <w:rsid w:val="00542CDA"/>
    <w:rsid w:val="005474F1"/>
    <w:rsid w:val="005509D8"/>
    <w:rsid w:val="005515D3"/>
    <w:rsid w:val="00551D7F"/>
    <w:rsid w:val="005563B1"/>
    <w:rsid w:val="00557A30"/>
    <w:rsid w:val="00560878"/>
    <w:rsid w:val="00560E75"/>
    <w:rsid w:val="00561E4F"/>
    <w:rsid w:val="005620EC"/>
    <w:rsid w:val="005623E2"/>
    <w:rsid w:val="005636BE"/>
    <w:rsid w:val="005641AD"/>
    <w:rsid w:val="00565448"/>
    <w:rsid w:val="00567BAB"/>
    <w:rsid w:val="00570E40"/>
    <w:rsid w:val="00572E37"/>
    <w:rsid w:val="00573B76"/>
    <w:rsid w:val="00583959"/>
    <w:rsid w:val="0058445E"/>
    <w:rsid w:val="00586E21"/>
    <w:rsid w:val="0058704A"/>
    <w:rsid w:val="00591C6B"/>
    <w:rsid w:val="005A18AD"/>
    <w:rsid w:val="005A4423"/>
    <w:rsid w:val="005A7C70"/>
    <w:rsid w:val="005B0107"/>
    <w:rsid w:val="005B0BD1"/>
    <w:rsid w:val="005B0CCD"/>
    <w:rsid w:val="005B2388"/>
    <w:rsid w:val="005B25EA"/>
    <w:rsid w:val="005B38E3"/>
    <w:rsid w:val="005B5290"/>
    <w:rsid w:val="005B5D59"/>
    <w:rsid w:val="005B69BA"/>
    <w:rsid w:val="005B71D6"/>
    <w:rsid w:val="005C1443"/>
    <w:rsid w:val="005C1DB6"/>
    <w:rsid w:val="005C228E"/>
    <w:rsid w:val="005C46CB"/>
    <w:rsid w:val="005C527C"/>
    <w:rsid w:val="005C5F89"/>
    <w:rsid w:val="005D019A"/>
    <w:rsid w:val="005D0A01"/>
    <w:rsid w:val="005D1572"/>
    <w:rsid w:val="005D157D"/>
    <w:rsid w:val="005D1889"/>
    <w:rsid w:val="005D4853"/>
    <w:rsid w:val="005D5918"/>
    <w:rsid w:val="005D5CD8"/>
    <w:rsid w:val="005D6844"/>
    <w:rsid w:val="005D68FD"/>
    <w:rsid w:val="005D6DE4"/>
    <w:rsid w:val="005E0A38"/>
    <w:rsid w:val="005E0CA5"/>
    <w:rsid w:val="005E2373"/>
    <w:rsid w:val="005E477E"/>
    <w:rsid w:val="005E4B94"/>
    <w:rsid w:val="005E4F2C"/>
    <w:rsid w:val="005F1025"/>
    <w:rsid w:val="005F10EE"/>
    <w:rsid w:val="005F6DD4"/>
    <w:rsid w:val="006029F2"/>
    <w:rsid w:val="00604035"/>
    <w:rsid w:val="00604B8B"/>
    <w:rsid w:val="006052B3"/>
    <w:rsid w:val="0060552A"/>
    <w:rsid w:val="00607DB6"/>
    <w:rsid w:val="00610A4A"/>
    <w:rsid w:val="006118C2"/>
    <w:rsid w:val="00614345"/>
    <w:rsid w:val="00615E24"/>
    <w:rsid w:val="00617C84"/>
    <w:rsid w:val="006214D9"/>
    <w:rsid w:val="0062181A"/>
    <w:rsid w:val="00623870"/>
    <w:rsid w:val="006248AA"/>
    <w:rsid w:val="00625870"/>
    <w:rsid w:val="006305D1"/>
    <w:rsid w:val="00631238"/>
    <w:rsid w:val="00633A64"/>
    <w:rsid w:val="0063710B"/>
    <w:rsid w:val="00640205"/>
    <w:rsid w:val="006404C8"/>
    <w:rsid w:val="00641C0A"/>
    <w:rsid w:val="00643FEB"/>
    <w:rsid w:val="0064404E"/>
    <w:rsid w:val="00644208"/>
    <w:rsid w:val="00644591"/>
    <w:rsid w:val="00645BAE"/>
    <w:rsid w:val="00646B47"/>
    <w:rsid w:val="00647139"/>
    <w:rsid w:val="00647245"/>
    <w:rsid w:val="00651254"/>
    <w:rsid w:val="00651408"/>
    <w:rsid w:val="006526F1"/>
    <w:rsid w:val="0065775C"/>
    <w:rsid w:val="00660AB6"/>
    <w:rsid w:val="0066298B"/>
    <w:rsid w:val="00662EDA"/>
    <w:rsid w:val="006633C3"/>
    <w:rsid w:val="00663E42"/>
    <w:rsid w:val="006663F5"/>
    <w:rsid w:val="006717F4"/>
    <w:rsid w:val="00672262"/>
    <w:rsid w:val="0067248D"/>
    <w:rsid w:val="00673186"/>
    <w:rsid w:val="006734A3"/>
    <w:rsid w:val="00676BE4"/>
    <w:rsid w:val="00677E79"/>
    <w:rsid w:val="006802C1"/>
    <w:rsid w:val="0068136E"/>
    <w:rsid w:val="00682CF5"/>
    <w:rsid w:val="006830DA"/>
    <w:rsid w:val="0068424B"/>
    <w:rsid w:val="00687D24"/>
    <w:rsid w:val="00691340"/>
    <w:rsid w:val="0069237E"/>
    <w:rsid w:val="00692E1D"/>
    <w:rsid w:val="00693360"/>
    <w:rsid w:val="00693C6A"/>
    <w:rsid w:val="00693CA8"/>
    <w:rsid w:val="0069693C"/>
    <w:rsid w:val="006A0498"/>
    <w:rsid w:val="006A0D6E"/>
    <w:rsid w:val="006A21C4"/>
    <w:rsid w:val="006A3954"/>
    <w:rsid w:val="006A3BEC"/>
    <w:rsid w:val="006B21A5"/>
    <w:rsid w:val="006B2B06"/>
    <w:rsid w:val="006B4BEC"/>
    <w:rsid w:val="006B7C08"/>
    <w:rsid w:val="006B7FBF"/>
    <w:rsid w:val="006C244A"/>
    <w:rsid w:val="006C421B"/>
    <w:rsid w:val="006D376A"/>
    <w:rsid w:val="006D7532"/>
    <w:rsid w:val="006E00C7"/>
    <w:rsid w:val="006E35D1"/>
    <w:rsid w:val="006E52C5"/>
    <w:rsid w:val="006E5613"/>
    <w:rsid w:val="006F02B8"/>
    <w:rsid w:val="006F0C60"/>
    <w:rsid w:val="006F214F"/>
    <w:rsid w:val="006F3749"/>
    <w:rsid w:val="006F4C97"/>
    <w:rsid w:val="006F51E2"/>
    <w:rsid w:val="006F5CEA"/>
    <w:rsid w:val="00700C5F"/>
    <w:rsid w:val="007025B1"/>
    <w:rsid w:val="00704339"/>
    <w:rsid w:val="007046BE"/>
    <w:rsid w:val="0070508B"/>
    <w:rsid w:val="007054DE"/>
    <w:rsid w:val="007056F3"/>
    <w:rsid w:val="00706E7D"/>
    <w:rsid w:val="00712137"/>
    <w:rsid w:val="007124CE"/>
    <w:rsid w:val="00712EAD"/>
    <w:rsid w:val="00716FB2"/>
    <w:rsid w:val="007175D0"/>
    <w:rsid w:val="00717EBA"/>
    <w:rsid w:val="00720675"/>
    <w:rsid w:val="00726454"/>
    <w:rsid w:val="00726DBA"/>
    <w:rsid w:val="00727D96"/>
    <w:rsid w:val="0073018A"/>
    <w:rsid w:val="00730A8E"/>
    <w:rsid w:val="00732DBC"/>
    <w:rsid w:val="00733FA3"/>
    <w:rsid w:val="00734154"/>
    <w:rsid w:val="00735150"/>
    <w:rsid w:val="00740888"/>
    <w:rsid w:val="00740E75"/>
    <w:rsid w:val="0074406C"/>
    <w:rsid w:val="00744149"/>
    <w:rsid w:val="00746450"/>
    <w:rsid w:val="00746E20"/>
    <w:rsid w:val="007508B0"/>
    <w:rsid w:val="00750938"/>
    <w:rsid w:val="0075221E"/>
    <w:rsid w:val="00752CAA"/>
    <w:rsid w:val="00753189"/>
    <w:rsid w:val="007548E6"/>
    <w:rsid w:val="00754B7F"/>
    <w:rsid w:val="00760710"/>
    <w:rsid w:val="007611B1"/>
    <w:rsid w:val="007640C0"/>
    <w:rsid w:val="007646D4"/>
    <w:rsid w:val="00765DE8"/>
    <w:rsid w:val="00771768"/>
    <w:rsid w:val="00774CB2"/>
    <w:rsid w:val="00774EA0"/>
    <w:rsid w:val="00775B75"/>
    <w:rsid w:val="0077669A"/>
    <w:rsid w:val="007773B4"/>
    <w:rsid w:val="00790B0A"/>
    <w:rsid w:val="00796BA8"/>
    <w:rsid w:val="00796E8F"/>
    <w:rsid w:val="00797EB3"/>
    <w:rsid w:val="007A21B1"/>
    <w:rsid w:val="007A4614"/>
    <w:rsid w:val="007A686B"/>
    <w:rsid w:val="007A7A8E"/>
    <w:rsid w:val="007A7BAC"/>
    <w:rsid w:val="007B41EF"/>
    <w:rsid w:val="007B5664"/>
    <w:rsid w:val="007B6710"/>
    <w:rsid w:val="007B6C89"/>
    <w:rsid w:val="007C5094"/>
    <w:rsid w:val="007D0FCE"/>
    <w:rsid w:val="007D1192"/>
    <w:rsid w:val="007D229D"/>
    <w:rsid w:val="007D6708"/>
    <w:rsid w:val="007D6BED"/>
    <w:rsid w:val="007D6EEE"/>
    <w:rsid w:val="007D753A"/>
    <w:rsid w:val="007E0A85"/>
    <w:rsid w:val="007E3DF1"/>
    <w:rsid w:val="007E7FD3"/>
    <w:rsid w:val="007F2174"/>
    <w:rsid w:val="007F28A6"/>
    <w:rsid w:val="007F3C63"/>
    <w:rsid w:val="007F6858"/>
    <w:rsid w:val="007F7AC2"/>
    <w:rsid w:val="00800EF3"/>
    <w:rsid w:val="0080105C"/>
    <w:rsid w:val="008013C7"/>
    <w:rsid w:val="00801F72"/>
    <w:rsid w:val="0080729F"/>
    <w:rsid w:val="00811B48"/>
    <w:rsid w:val="008130CA"/>
    <w:rsid w:val="00813A51"/>
    <w:rsid w:val="00814597"/>
    <w:rsid w:val="00815720"/>
    <w:rsid w:val="00815726"/>
    <w:rsid w:val="00815E6D"/>
    <w:rsid w:val="0081767F"/>
    <w:rsid w:val="008227AC"/>
    <w:rsid w:val="00824E30"/>
    <w:rsid w:val="00827AFC"/>
    <w:rsid w:val="008304A6"/>
    <w:rsid w:val="008374DB"/>
    <w:rsid w:val="00837FBC"/>
    <w:rsid w:val="008401AC"/>
    <w:rsid w:val="00842D1A"/>
    <w:rsid w:val="00843663"/>
    <w:rsid w:val="00843A52"/>
    <w:rsid w:val="00844274"/>
    <w:rsid w:val="00846BB5"/>
    <w:rsid w:val="008508AF"/>
    <w:rsid w:val="0085171C"/>
    <w:rsid w:val="0085197A"/>
    <w:rsid w:val="00854708"/>
    <w:rsid w:val="0085779A"/>
    <w:rsid w:val="00860F42"/>
    <w:rsid w:val="0086438B"/>
    <w:rsid w:val="00867159"/>
    <w:rsid w:val="00870495"/>
    <w:rsid w:val="00870D75"/>
    <w:rsid w:val="00882A4D"/>
    <w:rsid w:val="008851A8"/>
    <w:rsid w:val="00885D37"/>
    <w:rsid w:val="00890245"/>
    <w:rsid w:val="0089285B"/>
    <w:rsid w:val="008935B8"/>
    <w:rsid w:val="0089539B"/>
    <w:rsid w:val="008A38B3"/>
    <w:rsid w:val="008A3B9E"/>
    <w:rsid w:val="008A45FD"/>
    <w:rsid w:val="008A52D1"/>
    <w:rsid w:val="008A5864"/>
    <w:rsid w:val="008A6275"/>
    <w:rsid w:val="008A6D4C"/>
    <w:rsid w:val="008A731E"/>
    <w:rsid w:val="008B23FF"/>
    <w:rsid w:val="008B27F1"/>
    <w:rsid w:val="008B2B22"/>
    <w:rsid w:val="008B4531"/>
    <w:rsid w:val="008C023E"/>
    <w:rsid w:val="008C2C44"/>
    <w:rsid w:val="008C2FB4"/>
    <w:rsid w:val="008C64A4"/>
    <w:rsid w:val="008C64B1"/>
    <w:rsid w:val="008C7D29"/>
    <w:rsid w:val="008D121F"/>
    <w:rsid w:val="008D1D92"/>
    <w:rsid w:val="008D1FD4"/>
    <w:rsid w:val="008D2364"/>
    <w:rsid w:val="008D2F74"/>
    <w:rsid w:val="008D4563"/>
    <w:rsid w:val="008D5A54"/>
    <w:rsid w:val="008D70BA"/>
    <w:rsid w:val="008D7AEE"/>
    <w:rsid w:val="008E0F92"/>
    <w:rsid w:val="008E38B4"/>
    <w:rsid w:val="008E67A7"/>
    <w:rsid w:val="008E7567"/>
    <w:rsid w:val="008F2B4D"/>
    <w:rsid w:val="008F3C83"/>
    <w:rsid w:val="008F3E10"/>
    <w:rsid w:val="008F736A"/>
    <w:rsid w:val="009005A8"/>
    <w:rsid w:val="00900673"/>
    <w:rsid w:val="00900D60"/>
    <w:rsid w:val="009015F0"/>
    <w:rsid w:val="009016E0"/>
    <w:rsid w:val="0090184E"/>
    <w:rsid w:val="009106BA"/>
    <w:rsid w:val="0091219B"/>
    <w:rsid w:val="00913BE8"/>
    <w:rsid w:val="00915EF7"/>
    <w:rsid w:val="00916FE2"/>
    <w:rsid w:val="00920EA9"/>
    <w:rsid w:val="00922157"/>
    <w:rsid w:val="009221FC"/>
    <w:rsid w:val="00922D40"/>
    <w:rsid w:val="009231AC"/>
    <w:rsid w:val="00923207"/>
    <w:rsid w:val="0092400A"/>
    <w:rsid w:val="00924747"/>
    <w:rsid w:val="0092508B"/>
    <w:rsid w:val="009279FC"/>
    <w:rsid w:val="0093281F"/>
    <w:rsid w:val="009344D8"/>
    <w:rsid w:val="0093580C"/>
    <w:rsid w:val="009429A9"/>
    <w:rsid w:val="009459C4"/>
    <w:rsid w:val="00951381"/>
    <w:rsid w:val="00951674"/>
    <w:rsid w:val="00952566"/>
    <w:rsid w:val="009548EF"/>
    <w:rsid w:val="00955663"/>
    <w:rsid w:val="00957EC2"/>
    <w:rsid w:val="009608E2"/>
    <w:rsid w:val="00960B7E"/>
    <w:rsid w:val="00961428"/>
    <w:rsid w:val="00965C96"/>
    <w:rsid w:val="00966AD2"/>
    <w:rsid w:val="00967994"/>
    <w:rsid w:val="0097097C"/>
    <w:rsid w:val="00974E81"/>
    <w:rsid w:val="009758D1"/>
    <w:rsid w:val="00975D18"/>
    <w:rsid w:val="0097650D"/>
    <w:rsid w:val="00976CF4"/>
    <w:rsid w:val="0098139E"/>
    <w:rsid w:val="00983AD4"/>
    <w:rsid w:val="009842BB"/>
    <w:rsid w:val="00985F78"/>
    <w:rsid w:val="00985FAF"/>
    <w:rsid w:val="00986D34"/>
    <w:rsid w:val="00991368"/>
    <w:rsid w:val="0099288A"/>
    <w:rsid w:val="00993BF4"/>
    <w:rsid w:val="00993EC1"/>
    <w:rsid w:val="009A49C0"/>
    <w:rsid w:val="009A64AE"/>
    <w:rsid w:val="009A659E"/>
    <w:rsid w:val="009A6651"/>
    <w:rsid w:val="009A703D"/>
    <w:rsid w:val="009A7595"/>
    <w:rsid w:val="009B1C33"/>
    <w:rsid w:val="009B2AFE"/>
    <w:rsid w:val="009B4301"/>
    <w:rsid w:val="009B51E4"/>
    <w:rsid w:val="009B5989"/>
    <w:rsid w:val="009B5DF3"/>
    <w:rsid w:val="009C1E67"/>
    <w:rsid w:val="009C7949"/>
    <w:rsid w:val="009E03F4"/>
    <w:rsid w:val="009E17CC"/>
    <w:rsid w:val="009E2B2B"/>
    <w:rsid w:val="009E36EE"/>
    <w:rsid w:val="009E3713"/>
    <w:rsid w:val="009E4065"/>
    <w:rsid w:val="009E59E8"/>
    <w:rsid w:val="009E6694"/>
    <w:rsid w:val="009E79D9"/>
    <w:rsid w:val="009F01C3"/>
    <w:rsid w:val="009F2D67"/>
    <w:rsid w:val="009F2EAE"/>
    <w:rsid w:val="009F43B6"/>
    <w:rsid w:val="009F4F76"/>
    <w:rsid w:val="009F6080"/>
    <w:rsid w:val="009F6267"/>
    <w:rsid w:val="00A00479"/>
    <w:rsid w:val="00A02F1B"/>
    <w:rsid w:val="00A04AA4"/>
    <w:rsid w:val="00A0727F"/>
    <w:rsid w:val="00A07EA5"/>
    <w:rsid w:val="00A11092"/>
    <w:rsid w:val="00A13538"/>
    <w:rsid w:val="00A13716"/>
    <w:rsid w:val="00A15D6B"/>
    <w:rsid w:val="00A1742A"/>
    <w:rsid w:val="00A17EED"/>
    <w:rsid w:val="00A20F9C"/>
    <w:rsid w:val="00A21B19"/>
    <w:rsid w:val="00A249FB"/>
    <w:rsid w:val="00A2515D"/>
    <w:rsid w:val="00A2746A"/>
    <w:rsid w:val="00A32A14"/>
    <w:rsid w:val="00A331BF"/>
    <w:rsid w:val="00A3381C"/>
    <w:rsid w:val="00A35DEC"/>
    <w:rsid w:val="00A42102"/>
    <w:rsid w:val="00A43C25"/>
    <w:rsid w:val="00A504C0"/>
    <w:rsid w:val="00A50562"/>
    <w:rsid w:val="00A50985"/>
    <w:rsid w:val="00A516EC"/>
    <w:rsid w:val="00A518BB"/>
    <w:rsid w:val="00A5347D"/>
    <w:rsid w:val="00A54CE6"/>
    <w:rsid w:val="00A55C55"/>
    <w:rsid w:val="00A62774"/>
    <w:rsid w:val="00A62E4A"/>
    <w:rsid w:val="00A703AA"/>
    <w:rsid w:val="00A70CDA"/>
    <w:rsid w:val="00A71657"/>
    <w:rsid w:val="00A75CCA"/>
    <w:rsid w:val="00A76258"/>
    <w:rsid w:val="00A76C45"/>
    <w:rsid w:val="00A815AD"/>
    <w:rsid w:val="00A82152"/>
    <w:rsid w:val="00A82285"/>
    <w:rsid w:val="00A822C6"/>
    <w:rsid w:val="00A83FFB"/>
    <w:rsid w:val="00A85C09"/>
    <w:rsid w:val="00A870A0"/>
    <w:rsid w:val="00A874B0"/>
    <w:rsid w:val="00A91E93"/>
    <w:rsid w:val="00A95299"/>
    <w:rsid w:val="00A96920"/>
    <w:rsid w:val="00AA1588"/>
    <w:rsid w:val="00AA2D9C"/>
    <w:rsid w:val="00AA457F"/>
    <w:rsid w:val="00AA5175"/>
    <w:rsid w:val="00AA7054"/>
    <w:rsid w:val="00AB0C75"/>
    <w:rsid w:val="00AB799A"/>
    <w:rsid w:val="00AB7AE5"/>
    <w:rsid w:val="00AC0103"/>
    <w:rsid w:val="00AC0AA5"/>
    <w:rsid w:val="00AC25F7"/>
    <w:rsid w:val="00AC2D67"/>
    <w:rsid w:val="00AC55E4"/>
    <w:rsid w:val="00AC73A8"/>
    <w:rsid w:val="00AD3FE8"/>
    <w:rsid w:val="00AE165E"/>
    <w:rsid w:val="00AE1DA5"/>
    <w:rsid w:val="00AE388B"/>
    <w:rsid w:val="00AE3F1E"/>
    <w:rsid w:val="00AE5307"/>
    <w:rsid w:val="00AF0879"/>
    <w:rsid w:val="00AF51F7"/>
    <w:rsid w:val="00AF5458"/>
    <w:rsid w:val="00AF7BE2"/>
    <w:rsid w:val="00B036D8"/>
    <w:rsid w:val="00B06EFA"/>
    <w:rsid w:val="00B10397"/>
    <w:rsid w:val="00B126F9"/>
    <w:rsid w:val="00B130FC"/>
    <w:rsid w:val="00B13CE4"/>
    <w:rsid w:val="00B15592"/>
    <w:rsid w:val="00B16062"/>
    <w:rsid w:val="00B20C58"/>
    <w:rsid w:val="00B216E8"/>
    <w:rsid w:val="00B21A23"/>
    <w:rsid w:val="00B26771"/>
    <w:rsid w:val="00B26B4B"/>
    <w:rsid w:val="00B27586"/>
    <w:rsid w:val="00B31038"/>
    <w:rsid w:val="00B34B23"/>
    <w:rsid w:val="00B35603"/>
    <w:rsid w:val="00B36EB4"/>
    <w:rsid w:val="00B373AB"/>
    <w:rsid w:val="00B4004B"/>
    <w:rsid w:val="00B419E5"/>
    <w:rsid w:val="00B42314"/>
    <w:rsid w:val="00B44350"/>
    <w:rsid w:val="00B5013D"/>
    <w:rsid w:val="00B51A4F"/>
    <w:rsid w:val="00B52FAE"/>
    <w:rsid w:val="00B533AF"/>
    <w:rsid w:val="00B56294"/>
    <w:rsid w:val="00B568F6"/>
    <w:rsid w:val="00B6303B"/>
    <w:rsid w:val="00B63BBF"/>
    <w:rsid w:val="00B63EE5"/>
    <w:rsid w:val="00B663BE"/>
    <w:rsid w:val="00B67003"/>
    <w:rsid w:val="00B701EB"/>
    <w:rsid w:val="00B7284F"/>
    <w:rsid w:val="00B73336"/>
    <w:rsid w:val="00B7498D"/>
    <w:rsid w:val="00B755C9"/>
    <w:rsid w:val="00B761A4"/>
    <w:rsid w:val="00B7701B"/>
    <w:rsid w:val="00B810B5"/>
    <w:rsid w:val="00B8150A"/>
    <w:rsid w:val="00B83847"/>
    <w:rsid w:val="00B83FB0"/>
    <w:rsid w:val="00B85BF2"/>
    <w:rsid w:val="00B85EA7"/>
    <w:rsid w:val="00B874FF"/>
    <w:rsid w:val="00B90039"/>
    <w:rsid w:val="00B9125C"/>
    <w:rsid w:val="00B92384"/>
    <w:rsid w:val="00B95EA4"/>
    <w:rsid w:val="00B97295"/>
    <w:rsid w:val="00B97A4F"/>
    <w:rsid w:val="00BA203D"/>
    <w:rsid w:val="00BA3A00"/>
    <w:rsid w:val="00BA3E68"/>
    <w:rsid w:val="00BA46CB"/>
    <w:rsid w:val="00BA5096"/>
    <w:rsid w:val="00BA6A9E"/>
    <w:rsid w:val="00BA6C0F"/>
    <w:rsid w:val="00BA71EB"/>
    <w:rsid w:val="00BB0761"/>
    <w:rsid w:val="00BB0D40"/>
    <w:rsid w:val="00BB2011"/>
    <w:rsid w:val="00BB2358"/>
    <w:rsid w:val="00BB2CF5"/>
    <w:rsid w:val="00BB3603"/>
    <w:rsid w:val="00BB45AA"/>
    <w:rsid w:val="00BB46F0"/>
    <w:rsid w:val="00BC317C"/>
    <w:rsid w:val="00BC545E"/>
    <w:rsid w:val="00BC5AC6"/>
    <w:rsid w:val="00BC670B"/>
    <w:rsid w:val="00BD23BD"/>
    <w:rsid w:val="00BD2BFC"/>
    <w:rsid w:val="00BD2DA5"/>
    <w:rsid w:val="00BD2E04"/>
    <w:rsid w:val="00BD3F2B"/>
    <w:rsid w:val="00BE21E5"/>
    <w:rsid w:val="00BE24BD"/>
    <w:rsid w:val="00BE3630"/>
    <w:rsid w:val="00BE3D1E"/>
    <w:rsid w:val="00BE5A62"/>
    <w:rsid w:val="00BE61FB"/>
    <w:rsid w:val="00BE680A"/>
    <w:rsid w:val="00BF252B"/>
    <w:rsid w:val="00BF518E"/>
    <w:rsid w:val="00BF54C0"/>
    <w:rsid w:val="00BF55C4"/>
    <w:rsid w:val="00BF5B22"/>
    <w:rsid w:val="00BF615B"/>
    <w:rsid w:val="00C00CCF"/>
    <w:rsid w:val="00C050D3"/>
    <w:rsid w:val="00C11F05"/>
    <w:rsid w:val="00C12FC4"/>
    <w:rsid w:val="00C13662"/>
    <w:rsid w:val="00C16737"/>
    <w:rsid w:val="00C26AE7"/>
    <w:rsid w:val="00C27838"/>
    <w:rsid w:val="00C27E25"/>
    <w:rsid w:val="00C27E62"/>
    <w:rsid w:val="00C31CD1"/>
    <w:rsid w:val="00C332CC"/>
    <w:rsid w:val="00C33BA1"/>
    <w:rsid w:val="00C34FEF"/>
    <w:rsid w:val="00C37627"/>
    <w:rsid w:val="00C41A1F"/>
    <w:rsid w:val="00C42275"/>
    <w:rsid w:val="00C43752"/>
    <w:rsid w:val="00C44F98"/>
    <w:rsid w:val="00C45608"/>
    <w:rsid w:val="00C5063E"/>
    <w:rsid w:val="00C55DC7"/>
    <w:rsid w:val="00C57772"/>
    <w:rsid w:val="00C6055B"/>
    <w:rsid w:val="00C61B44"/>
    <w:rsid w:val="00C64C53"/>
    <w:rsid w:val="00C65EC8"/>
    <w:rsid w:val="00C6743B"/>
    <w:rsid w:val="00C7072C"/>
    <w:rsid w:val="00C70DFD"/>
    <w:rsid w:val="00C729CC"/>
    <w:rsid w:val="00C73C3D"/>
    <w:rsid w:val="00C74ABD"/>
    <w:rsid w:val="00C7506C"/>
    <w:rsid w:val="00C758EA"/>
    <w:rsid w:val="00C76A2C"/>
    <w:rsid w:val="00C77CDC"/>
    <w:rsid w:val="00C81127"/>
    <w:rsid w:val="00C84713"/>
    <w:rsid w:val="00C85477"/>
    <w:rsid w:val="00C87A01"/>
    <w:rsid w:val="00C90A4C"/>
    <w:rsid w:val="00C92AA6"/>
    <w:rsid w:val="00C92C3B"/>
    <w:rsid w:val="00CA1B0D"/>
    <w:rsid w:val="00CA262C"/>
    <w:rsid w:val="00CA461F"/>
    <w:rsid w:val="00CA4E82"/>
    <w:rsid w:val="00CA528B"/>
    <w:rsid w:val="00CA7C66"/>
    <w:rsid w:val="00CB087F"/>
    <w:rsid w:val="00CB0B3A"/>
    <w:rsid w:val="00CB0CF6"/>
    <w:rsid w:val="00CB1C46"/>
    <w:rsid w:val="00CB23E8"/>
    <w:rsid w:val="00CB3912"/>
    <w:rsid w:val="00CB718D"/>
    <w:rsid w:val="00CB74ED"/>
    <w:rsid w:val="00CC2CD9"/>
    <w:rsid w:val="00CC5741"/>
    <w:rsid w:val="00CC6045"/>
    <w:rsid w:val="00CC6E12"/>
    <w:rsid w:val="00CD16A3"/>
    <w:rsid w:val="00CE0576"/>
    <w:rsid w:val="00CE24AD"/>
    <w:rsid w:val="00CE53F0"/>
    <w:rsid w:val="00CE5A7B"/>
    <w:rsid w:val="00CE6A27"/>
    <w:rsid w:val="00CE7799"/>
    <w:rsid w:val="00CE7A37"/>
    <w:rsid w:val="00CF1C31"/>
    <w:rsid w:val="00CF4113"/>
    <w:rsid w:val="00CF62E6"/>
    <w:rsid w:val="00D00B07"/>
    <w:rsid w:val="00D0246F"/>
    <w:rsid w:val="00D0361A"/>
    <w:rsid w:val="00D06D9F"/>
    <w:rsid w:val="00D076C7"/>
    <w:rsid w:val="00D103CD"/>
    <w:rsid w:val="00D12EC6"/>
    <w:rsid w:val="00D17246"/>
    <w:rsid w:val="00D2057F"/>
    <w:rsid w:val="00D20BF7"/>
    <w:rsid w:val="00D218EE"/>
    <w:rsid w:val="00D21974"/>
    <w:rsid w:val="00D23F2B"/>
    <w:rsid w:val="00D2420B"/>
    <w:rsid w:val="00D24335"/>
    <w:rsid w:val="00D25B04"/>
    <w:rsid w:val="00D26F90"/>
    <w:rsid w:val="00D2789A"/>
    <w:rsid w:val="00D30439"/>
    <w:rsid w:val="00D3534A"/>
    <w:rsid w:val="00D35955"/>
    <w:rsid w:val="00D3676D"/>
    <w:rsid w:val="00D3680B"/>
    <w:rsid w:val="00D3695F"/>
    <w:rsid w:val="00D37A0D"/>
    <w:rsid w:val="00D41678"/>
    <w:rsid w:val="00D423CE"/>
    <w:rsid w:val="00D426D0"/>
    <w:rsid w:val="00D42FEA"/>
    <w:rsid w:val="00D43D1E"/>
    <w:rsid w:val="00D43EBE"/>
    <w:rsid w:val="00D446C9"/>
    <w:rsid w:val="00D5018B"/>
    <w:rsid w:val="00D55654"/>
    <w:rsid w:val="00D556AF"/>
    <w:rsid w:val="00D5635E"/>
    <w:rsid w:val="00D563D0"/>
    <w:rsid w:val="00D60C01"/>
    <w:rsid w:val="00D62EBB"/>
    <w:rsid w:val="00D6377C"/>
    <w:rsid w:val="00D6662C"/>
    <w:rsid w:val="00D72E79"/>
    <w:rsid w:val="00D750F1"/>
    <w:rsid w:val="00D7655A"/>
    <w:rsid w:val="00D829CF"/>
    <w:rsid w:val="00D83BA0"/>
    <w:rsid w:val="00D84CEF"/>
    <w:rsid w:val="00D84FA1"/>
    <w:rsid w:val="00D85A66"/>
    <w:rsid w:val="00D86203"/>
    <w:rsid w:val="00D87C28"/>
    <w:rsid w:val="00D87DE0"/>
    <w:rsid w:val="00D905E4"/>
    <w:rsid w:val="00D9084C"/>
    <w:rsid w:val="00D93805"/>
    <w:rsid w:val="00D940E6"/>
    <w:rsid w:val="00DA07F2"/>
    <w:rsid w:val="00DA11CE"/>
    <w:rsid w:val="00DA1AA7"/>
    <w:rsid w:val="00DA25D4"/>
    <w:rsid w:val="00DA3853"/>
    <w:rsid w:val="00DA3A1C"/>
    <w:rsid w:val="00DA4852"/>
    <w:rsid w:val="00DA7431"/>
    <w:rsid w:val="00DB3F29"/>
    <w:rsid w:val="00DB4E23"/>
    <w:rsid w:val="00DB5BD6"/>
    <w:rsid w:val="00DC0CEA"/>
    <w:rsid w:val="00DC2846"/>
    <w:rsid w:val="00DC46BF"/>
    <w:rsid w:val="00DC4871"/>
    <w:rsid w:val="00DD2083"/>
    <w:rsid w:val="00DD20D4"/>
    <w:rsid w:val="00DD384C"/>
    <w:rsid w:val="00DD7617"/>
    <w:rsid w:val="00DE0A59"/>
    <w:rsid w:val="00DE1E03"/>
    <w:rsid w:val="00DE3CF3"/>
    <w:rsid w:val="00DE49E3"/>
    <w:rsid w:val="00DE5152"/>
    <w:rsid w:val="00DE5156"/>
    <w:rsid w:val="00DE66C3"/>
    <w:rsid w:val="00DE6A8B"/>
    <w:rsid w:val="00DE6AFC"/>
    <w:rsid w:val="00DF0D4C"/>
    <w:rsid w:val="00DF10C1"/>
    <w:rsid w:val="00DF1D97"/>
    <w:rsid w:val="00DF3D78"/>
    <w:rsid w:val="00DF4934"/>
    <w:rsid w:val="00DF58D1"/>
    <w:rsid w:val="00DF62D4"/>
    <w:rsid w:val="00DF7BB1"/>
    <w:rsid w:val="00DF7E0F"/>
    <w:rsid w:val="00E0241E"/>
    <w:rsid w:val="00E02C73"/>
    <w:rsid w:val="00E033DD"/>
    <w:rsid w:val="00E039E2"/>
    <w:rsid w:val="00E046FB"/>
    <w:rsid w:val="00E05F37"/>
    <w:rsid w:val="00E06C3A"/>
    <w:rsid w:val="00E0715C"/>
    <w:rsid w:val="00E07B0C"/>
    <w:rsid w:val="00E10148"/>
    <w:rsid w:val="00E16019"/>
    <w:rsid w:val="00E165E5"/>
    <w:rsid w:val="00E16969"/>
    <w:rsid w:val="00E17AE3"/>
    <w:rsid w:val="00E26970"/>
    <w:rsid w:val="00E30BF3"/>
    <w:rsid w:val="00E33069"/>
    <w:rsid w:val="00E34BB2"/>
    <w:rsid w:val="00E41B44"/>
    <w:rsid w:val="00E42378"/>
    <w:rsid w:val="00E46945"/>
    <w:rsid w:val="00E46A89"/>
    <w:rsid w:val="00E475A3"/>
    <w:rsid w:val="00E50112"/>
    <w:rsid w:val="00E52ADB"/>
    <w:rsid w:val="00E53414"/>
    <w:rsid w:val="00E601E4"/>
    <w:rsid w:val="00E61037"/>
    <w:rsid w:val="00E6541F"/>
    <w:rsid w:val="00E65563"/>
    <w:rsid w:val="00E665D6"/>
    <w:rsid w:val="00E6711C"/>
    <w:rsid w:val="00E71247"/>
    <w:rsid w:val="00E72158"/>
    <w:rsid w:val="00E72B20"/>
    <w:rsid w:val="00E72E1D"/>
    <w:rsid w:val="00E743FA"/>
    <w:rsid w:val="00E74952"/>
    <w:rsid w:val="00E758B0"/>
    <w:rsid w:val="00E75E30"/>
    <w:rsid w:val="00E75F5D"/>
    <w:rsid w:val="00E7693F"/>
    <w:rsid w:val="00E77A8C"/>
    <w:rsid w:val="00E81C98"/>
    <w:rsid w:val="00E82E62"/>
    <w:rsid w:val="00E85534"/>
    <w:rsid w:val="00E92CD9"/>
    <w:rsid w:val="00E92E7B"/>
    <w:rsid w:val="00E949E2"/>
    <w:rsid w:val="00E959B8"/>
    <w:rsid w:val="00E979FB"/>
    <w:rsid w:val="00E97DDA"/>
    <w:rsid w:val="00EA4265"/>
    <w:rsid w:val="00EA4A80"/>
    <w:rsid w:val="00EA5B12"/>
    <w:rsid w:val="00EB353C"/>
    <w:rsid w:val="00EB3EB4"/>
    <w:rsid w:val="00EB7D13"/>
    <w:rsid w:val="00EC231C"/>
    <w:rsid w:val="00EC35CD"/>
    <w:rsid w:val="00EC4E90"/>
    <w:rsid w:val="00ED5759"/>
    <w:rsid w:val="00ED6175"/>
    <w:rsid w:val="00ED6D72"/>
    <w:rsid w:val="00EE3B2B"/>
    <w:rsid w:val="00EE587C"/>
    <w:rsid w:val="00EE7AA0"/>
    <w:rsid w:val="00EF07C5"/>
    <w:rsid w:val="00EF7850"/>
    <w:rsid w:val="00EF7B94"/>
    <w:rsid w:val="00F00EBD"/>
    <w:rsid w:val="00F02BAC"/>
    <w:rsid w:val="00F03A41"/>
    <w:rsid w:val="00F068E8"/>
    <w:rsid w:val="00F06C6B"/>
    <w:rsid w:val="00F070E0"/>
    <w:rsid w:val="00F1234A"/>
    <w:rsid w:val="00F12FBF"/>
    <w:rsid w:val="00F15DB7"/>
    <w:rsid w:val="00F1613E"/>
    <w:rsid w:val="00F166B5"/>
    <w:rsid w:val="00F1674F"/>
    <w:rsid w:val="00F167D0"/>
    <w:rsid w:val="00F2301E"/>
    <w:rsid w:val="00F2336E"/>
    <w:rsid w:val="00F26DBA"/>
    <w:rsid w:val="00F30090"/>
    <w:rsid w:val="00F322A9"/>
    <w:rsid w:val="00F355D7"/>
    <w:rsid w:val="00F373B5"/>
    <w:rsid w:val="00F378D8"/>
    <w:rsid w:val="00F4248E"/>
    <w:rsid w:val="00F42B3B"/>
    <w:rsid w:val="00F43FA2"/>
    <w:rsid w:val="00F44D35"/>
    <w:rsid w:val="00F4665F"/>
    <w:rsid w:val="00F46C94"/>
    <w:rsid w:val="00F50C21"/>
    <w:rsid w:val="00F52FD8"/>
    <w:rsid w:val="00F54F23"/>
    <w:rsid w:val="00F55051"/>
    <w:rsid w:val="00F5524F"/>
    <w:rsid w:val="00F55551"/>
    <w:rsid w:val="00F60F5E"/>
    <w:rsid w:val="00F61E26"/>
    <w:rsid w:val="00F66ABA"/>
    <w:rsid w:val="00F67B33"/>
    <w:rsid w:val="00F70586"/>
    <w:rsid w:val="00F70959"/>
    <w:rsid w:val="00F709C9"/>
    <w:rsid w:val="00F71F65"/>
    <w:rsid w:val="00F721DE"/>
    <w:rsid w:val="00F72E98"/>
    <w:rsid w:val="00F74CAE"/>
    <w:rsid w:val="00F772C8"/>
    <w:rsid w:val="00F8115A"/>
    <w:rsid w:val="00F829A9"/>
    <w:rsid w:val="00F85C46"/>
    <w:rsid w:val="00F91EFD"/>
    <w:rsid w:val="00F940EC"/>
    <w:rsid w:val="00FA044F"/>
    <w:rsid w:val="00FA0A39"/>
    <w:rsid w:val="00FA2772"/>
    <w:rsid w:val="00FA34D3"/>
    <w:rsid w:val="00FA5864"/>
    <w:rsid w:val="00FA6D5A"/>
    <w:rsid w:val="00FA6D60"/>
    <w:rsid w:val="00FA6FE4"/>
    <w:rsid w:val="00FB0CA1"/>
    <w:rsid w:val="00FB110F"/>
    <w:rsid w:val="00FB26E0"/>
    <w:rsid w:val="00FC1C84"/>
    <w:rsid w:val="00FC38BE"/>
    <w:rsid w:val="00FC398C"/>
    <w:rsid w:val="00FC59CD"/>
    <w:rsid w:val="00FC6378"/>
    <w:rsid w:val="00FD0E8B"/>
    <w:rsid w:val="00FD7935"/>
    <w:rsid w:val="00FE4EA7"/>
    <w:rsid w:val="00FE50F2"/>
    <w:rsid w:val="00FE61D2"/>
    <w:rsid w:val="00FF180E"/>
    <w:rsid w:val="00FF6DF6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7BBCEB"/>
  <w15:docId w15:val="{42198FC2-5A8B-46B6-A568-8CA0E166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EF7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1"/>
    <w:qFormat/>
    <w:rsid w:val="007046BE"/>
    <w:pPr>
      <w:widowControl w:val="0"/>
      <w:autoSpaceDE w:val="0"/>
      <w:autoSpaceDN w:val="0"/>
      <w:spacing w:after="0" w:line="240" w:lineRule="auto"/>
      <w:outlineLvl w:val="2"/>
    </w:pPr>
    <w:rPr>
      <w:rFonts w:ascii="Arial" w:eastAsia="Arial" w:hAnsi="Arial" w:cs="Arial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36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915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1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4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7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4B0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7046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46BE"/>
    <w:rPr>
      <w:rFonts w:ascii="Arial" w:eastAsia="Arial" w:hAnsi="Arial" w:cs="Arial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7046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7046BE"/>
    <w:rPr>
      <w:rFonts w:ascii="Arial" w:eastAsia="Arial" w:hAnsi="Arial" w:cs="Arial"/>
      <w:b/>
      <w:bCs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3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4D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4D3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0437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85B8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tif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20D5D12A8C745A7A141AC2792FAA0" ma:contentTypeVersion="16" ma:contentTypeDescription="Create a new document." ma:contentTypeScope="" ma:versionID="2e0598913b2ca30bae690132e3d74449">
  <xsd:schema xmlns:xsd="http://www.w3.org/2001/XMLSchema" xmlns:xs="http://www.w3.org/2001/XMLSchema" xmlns:p="http://schemas.microsoft.com/office/2006/metadata/properties" xmlns:ns2="268ba956-f75e-4902-b00d-6af1be0694b8" xmlns:ns3="645608cc-4df1-4775-876c-4ceff46c2ce6" targetNamespace="http://schemas.microsoft.com/office/2006/metadata/properties" ma:root="true" ma:fieldsID="9adc22b538d09984b775be75cbb23e2d" ns2:_="" ns3:_="">
    <xsd:import namespace="268ba956-f75e-4902-b00d-6af1be0694b8"/>
    <xsd:import namespace="645608cc-4df1-4775-876c-4ceff46c2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ba956-f75e-4902-b00d-6af1be069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989c2f-39f1-43da-b6f6-2c99c4818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608cc-4df1-4775-876c-4ceff46c2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4470ed-cb8b-43b3-9d63-c1eab69566be}" ma:internalName="TaxCatchAll" ma:showField="CatchAllData" ma:web="645608cc-4df1-4775-876c-4ceff46c2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5608cc-4df1-4775-876c-4ceff46c2ce6"/>
    <lcf76f155ced4ddcb4097134ff3c332f xmlns="268ba956-f75e-4902-b00d-6af1be0694b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F5BB6-868F-49C1-8E16-C3BE58CAD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ba956-f75e-4902-b00d-6af1be0694b8"/>
    <ds:schemaRef ds:uri="645608cc-4df1-4775-876c-4ceff46c2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F31D3-66BA-4E19-BA8F-8A5B43DB0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7D23A-ACCB-40A3-93FA-C57C21EBB2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5608cc-4df1-4775-876c-4ceff46c2ce6"/>
    <ds:schemaRef ds:uri="268ba956-f75e-4902-b00d-6af1be0694b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1AD3FE-8E8E-428E-85A8-0BD7B2A4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Duncan</dc:creator>
  <cp:lastModifiedBy>Cathy Magee</cp:lastModifiedBy>
  <cp:revision>2</cp:revision>
  <cp:lastPrinted>2021-10-28T15:02:00Z</cp:lastPrinted>
  <dcterms:created xsi:type="dcterms:W3CDTF">2022-10-31T15:22:00Z</dcterms:created>
  <dcterms:modified xsi:type="dcterms:W3CDTF">2022-10-31T15:22:00Z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0x010100AC420D5D12A8C745A7A141AC2792FAA0</vt:lpwstr>
  </property>
</Properties>
</file>