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A619" w14:textId="77777777" w:rsidR="00F4053B" w:rsidRPr="008C4E95" w:rsidRDefault="00F4053B" w:rsidP="00B63D04">
      <w:pPr>
        <w:jc w:val="center"/>
        <w:rPr>
          <w:rFonts w:cs="Arial"/>
          <w:b/>
          <w:color w:val="244061" w:themeColor="accent1" w:themeShade="80"/>
          <w:sz w:val="26"/>
          <w:szCs w:val="26"/>
        </w:rPr>
      </w:pPr>
      <w:bookmarkStart w:id="0" w:name="_GoBack"/>
      <w:bookmarkEnd w:id="0"/>
      <w:r w:rsidRPr="008C4E95">
        <w:rPr>
          <w:rFonts w:cs="Arial"/>
          <w:b/>
          <w:noProof/>
          <w:color w:val="244061" w:themeColor="accent1" w:themeShade="80"/>
          <w:sz w:val="26"/>
          <w:szCs w:val="26"/>
        </w:rPr>
        <w:drawing>
          <wp:inline distT="0" distB="0" distL="0" distR="0">
            <wp:extent cx="2637155" cy="718705"/>
            <wp:effectExtent l="19050" t="0" r="0" b="0"/>
            <wp:docPr id="1" name="Picture 0" descr="Dyslexia_Scotland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lexia_Scotland_logo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997" cy="7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1AED" w14:textId="77777777" w:rsidR="00727DFF" w:rsidRPr="008C4E95" w:rsidRDefault="00727DFF" w:rsidP="00B63D04">
      <w:p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</w:rPr>
        <w:tab/>
      </w:r>
    </w:p>
    <w:p w14:paraId="054EFF41" w14:textId="4E7656FB" w:rsidR="003B72FC" w:rsidRPr="008C4E95" w:rsidRDefault="003B72FC" w:rsidP="00B63D04">
      <w:pPr>
        <w:jc w:val="center"/>
        <w:rPr>
          <w:rFonts w:cs="Arial"/>
          <w:b/>
          <w:color w:val="244061" w:themeColor="accent1" w:themeShade="80"/>
          <w:sz w:val="26"/>
          <w:szCs w:val="26"/>
        </w:rPr>
      </w:pPr>
      <w:r w:rsidRPr="008C4E95">
        <w:rPr>
          <w:rFonts w:cs="Arial"/>
          <w:b/>
          <w:color w:val="244061" w:themeColor="accent1" w:themeShade="80"/>
          <w:sz w:val="26"/>
          <w:szCs w:val="26"/>
        </w:rPr>
        <w:t>Minutes of the Annual General meeting on</w:t>
      </w:r>
    </w:p>
    <w:p w14:paraId="42A3082D" w14:textId="0F63F60B" w:rsidR="003B72FC" w:rsidRPr="008C4E95" w:rsidRDefault="003B72FC" w:rsidP="00B63D04">
      <w:pPr>
        <w:jc w:val="center"/>
        <w:rPr>
          <w:rFonts w:cs="Arial"/>
          <w:b/>
          <w:color w:val="244061" w:themeColor="accent1" w:themeShade="80"/>
          <w:sz w:val="26"/>
          <w:szCs w:val="26"/>
        </w:rPr>
      </w:pPr>
      <w:r w:rsidRPr="008C4E95">
        <w:rPr>
          <w:rFonts w:cs="Arial"/>
          <w:b/>
          <w:color w:val="244061" w:themeColor="accent1" w:themeShade="80"/>
          <w:sz w:val="26"/>
          <w:szCs w:val="26"/>
        </w:rPr>
        <w:t>Saturday 2</w:t>
      </w:r>
      <w:r w:rsidR="008E09AE" w:rsidRPr="008C4E95">
        <w:rPr>
          <w:rFonts w:cs="Arial"/>
          <w:b/>
          <w:color w:val="244061" w:themeColor="accent1" w:themeShade="80"/>
          <w:sz w:val="26"/>
          <w:szCs w:val="26"/>
        </w:rPr>
        <w:t>0 November 2021</w:t>
      </w:r>
      <w:r w:rsidRPr="008C4E95">
        <w:rPr>
          <w:rFonts w:cs="Arial"/>
          <w:b/>
          <w:color w:val="244061" w:themeColor="accent1" w:themeShade="80"/>
          <w:sz w:val="26"/>
          <w:szCs w:val="26"/>
        </w:rPr>
        <w:t xml:space="preserve"> </w:t>
      </w:r>
    </w:p>
    <w:p w14:paraId="2F4BDA20" w14:textId="11A54D24" w:rsidR="004C7553" w:rsidRPr="008C4E95" w:rsidRDefault="00DD6387" w:rsidP="00B63D04">
      <w:pPr>
        <w:jc w:val="center"/>
        <w:rPr>
          <w:b/>
          <w:color w:val="244061" w:themeColor="accent1" w:themeShade="80"/>
          <w:sz w:val="26"/>
          <w:szCs w:val="26"/>
        </w:rPr>
      </w:pPr>
      <w:r w:rsidRPr="008C4E95">
        <w:rPr>
          <w:b/>
          <w:color w:val="244061" w:themeColor="accent1" w:themeShade="80"/>
          <w:sz w:val="26"/>
          <w:szCs w:val="26"/>
        </w:rPr>
        <w:t>via Zoom</w:t>
      </w:r>
    </w:p>
    <w:p w14:paraId="5583390D" w14:textId="5741256A" w:rsidR="004C7553" w:rsidRPr="008C4E95" w:rsidRDefault="004C7553" w:rsidP="00B63D04">
      <w:pPr>
        <w:rPr>
          <w:rFonts w:cs="Arial"/>
          <w:color w:val="244061" w:themeColor="accent1" w:themeShade="80"/>
          <w:sz w:val="26"/>
          <w:szCs w:val="26"/>
        </w:rPr>
      </w:pPr>
    </w:p>
    <w:p w14:paraId="794540C0" w14:textId="5F61425B" w:rsidR="003B72FC" w:rsidRPr="008C4E95" w:rsidRDefault="003B72FC" w:rsidP="00B63D04">
      <w:pPr>
        <w:rPr>
          <w:rFonts w:cs="Arial"/>
          <w:color w:val="244061" w:themeColor="accent1" w:themeShade="80"/>
          <w:sz w:val="26"/>
          <w:szCs w:val="26"/>
        </w:rPr>
      </w:pPr>
    </w:p>
    <w:p w14:paraId="313B8656" w14:textId="77777777" w:rsidR="003B72FC" w:rsidRPr="008C4E95" w:rsidRDefault="003B72FC" w:rsidP="00B63D04">
      <w:pPr>
        <w:rPr>
          <w:rFonts w:cs="Arial"/>
          <w:color w:val="244061" w:themeColor="accent1" w:themeShade="80"/>
          <w:sz w:val="26"/>
          <w:szCs w:val="26"/>
        </w:rPr>
      </w:pPr>
    </w:p>
    <w:p w14:paraId="263089E1" w14:textId="1A059D63" w:rsidR="004C7553" w:rsidRPr="008C4E95" w:rsidRDefault="004C7553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1.</w:t>
      </w:r>
      <w:r w:rsidRPr="008C4E95">
        <w:rPr>
          <w:rFonts w:cs="Arial"/>
          <w:color w:val="244061" w:themeColor="accent1" w:themeShade="80"/>
          <w:sz w:val="26"/>
          <w:szCs w:val="26"/>
        </w:rPr>
        <w:tab/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 xml:space="preserve">Minutes of </w:t>
      </w:r>
      <w:r w:rsidR="008E09AE" w:rsidRPr="008C4E95">
        <w:rPr>
          <w:rFonts w:cs="Arial"/>
          <w:color w:val="244061" w:themeColor="accent1" w:themeShade="80"/>
          <w:sz w:val="26"/>
          <w:szCs w:val="26"/>
          <w:u w:val="single"/>
        </w:rPr>
        <w:t>2020</w:t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 xml:space="preserve"> Annual General Meeting</w:t>
      </w:r>
    </w:p>
    <w:p w14:paraId="2F2654A1" w14:textId="19E9ED15" w:rsidR="004C7553" w:rsidRPr="008C4E95" w:rsidRDefault="00DD6387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The m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inutes of the Annual General Meeting held on 2</w:t>
      </w:r>
      <w:r w:rsidR="008E09AE" w:rsidRPr="008C4E95">
        <w:rPr>
          <w:rFonts w:cs="Arial"/>
          <w:color w:val="244061" w:themeColor="accent1" w:themeShade="80"/>
          <w:sz w:val="26"/>
          <w:szCs w:val="26"/>
        </w:rPr>
        <w:t>1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 xml:space="preserve"> November </w:t>
      </w:r>
      <w:r w:rsidR="008E09AE" w:rsidRPr="008C4E95">
        <w:rPr>
          <w:rFonts w:cs="Arial"/>
          <w:color w:val="244061" w:themeColor="accent1" w:themeShade="80"/>
          <w:sz w:val="26"/>
          <w:szCs w:val="26"/>
        </w:rPr>
        <w:t>2020</w:t>
      </w:r>
      <w:r w:rsidRPr="008C4E95">
        <w:rPr>
          <w:rFonts w:cs="Arial"/>
          <w:color w:val="244061" w:themeColor="accent1" w:themeShade="80"/>
          <w:sz w:val="26"/>
          <w:szCs w:val="26"/>
        </w:rPr>
        <w:t xml:space="preserve"> were approved with no objections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.</w:t>
      </w:r>
    </w:p>
    <w:p w14:paraId="6C8980CC" w14:textId="77777777" w:rsidR="004C7553" w:rsidRPr="008C4E95" w:rsidRDefault="004C7553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2.</w:t>
      </w:r>
      <w:r w:rsidRPr="008C4E95">
        <w:rPr>
          <w:rFonts w:cs="Arial"/>
          <w:color w:val="244061" w:themeColor="accent1" w:themeShade="80"/>
          <w:sz w:val="26"/>
          <w:szCs w:val="26"/>
        </w:rPr>
        <w:tab/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Annual Report</w:t>
      </w:r>
    </w:p>
    <w:p w14:paraId="721F09EB" w14:textId="5DBDD432" w:rsidR="004C7553" w:rsidRPr="008C4E95" w:rsidRDefault="00DD6387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 xml:space="preserve">The 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Annual Report of the Company for the year ended 31 March 20</w:t>
      </w:r>
      <w:r w:rsidR="008E09AE" w:rsidRPr="008C4E95">
        <w:rPr>
          <w:rFonts w:cs="Arial"/>
          <w:color w:val="244061" w:themeColor="accent1" w:themeShade="80"/>
          <w:sz w:val="26"/>
          <w:szCs w:val="26"/>
        </w:rPr>
        <w:t>21</w:t>
      </w:r>
      <w:r w:rsidRPr="008C4E95">
        <w:rPr>
          <w:rFonts w:cs="Arial"/>
          <w:color w:val="244061" w:themeColor="accent1" w:themeShade="80"/>
          <w:sz w:val="26"/>
          <w:szCs w:val="26"/>
        </w:rPr>
        <w:t xml:space="preserve"> was approved with no objections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.</w:t>
      </w:r>
    </w:p>
    <w:p w14:paraId="2BCC674C" w14:textId="77777777" w:rsidR="004C7553" w:rsidRPr="008C4E95" w:rsidRDefault="004C7553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  <w:u w:val="single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3.</w:t>
      </w:r>
      <w:r w:rsidRPr="008C4E95">
        <w:rPr>
          <w:rFonts w:cs="Arial"/>
          <w:color w:val="244061" w:themeColor="accent1" w:themeShade="80"/>
          <w:sz w:val="26"/>
          <w:szCs w:val="26"/>
        </w:rPr>
        <w:tab/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Accounts of the Branches and Company</w:t>
      </w:r>
    </w:p>
    <w:p w14:paraId="5BA389E0" w14:textId="39435149" w:rsidR="004C7553" w:rsidRPr="008C4E95" w:rsidRDefault="00DD6387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 xml:space="preserve">The 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annual accounts of the Branches and of the Company for the year ended 31 March 20</w:t>
      </w:r>
      <w:r w:rsidR="008E09AE" w:rsidRPr="008C4E95">
        <w:rPr>
          <w:rFonts w:cs="Arial"/>
          <w:color w:val="244061" w:themeColor="accent1" w:themeShade="80"/>
          <w:sz w:val="26"/>
          <w:szCs w:val="26"/>
        </w:rPr>
        <w:t>21</w:t>
      </w:r>
      <w:r w:rsidRPr="008C4E95">
        <w:rPr>
          <w:rFonts w:cs="Arial"/>
          <w:color w:val="244061" w:themeColor="accent1" w:themeShade="80"/>
          <w:sz w:val="26"/>
          <w:szCs w:val="26"/>
        </w:rPr>
        <w:t xml:space="preserve"> were approved with no objections. </w:t>
      </w:r>
    </w:p>
    <w:p w14:paraId="2BED4A37" w14:textId="77777777" w:rsidR="004C7553" w:rsidRPr="008C4E95" w:rsidRDefault="004C7553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  <w:u w:val="single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4.</w:t>
      </w:r>
      <w:r w:rsidRPr="008C4E95">
        <w:rPr>
          <w:rFonts w:cs="Arial"/>
          <w:color w:val="244061" w:themeColor="accent1" w:themeShade="80"/>
          <w:sz w:val="26"/>
          <w:szCs w:val="26"/>
        </w:rPr>
        <w:tab/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Appointment and resignations of Directors</w:t>
      </w:r>
    </w:p>
    <w:p w14:paraId="73DBF1BA" w14:textId="6F3F1A66" w:rsidR="008E09AE" w:rsidRPr="008C4E95" w:rsidRDefault="008E09AE" w:rsidP="00B63D04">
      <w:pPr>
        <w:pStyle w:val="Default"/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>To reappointment of the following as Directors was approved with no objections:</w:t>
      </w:r>
    </w:p>
    <w:p w14:paraId="57D5637B" w14:textId="77777777" w:rsidR="008E09AE" w:rsidRPr="008C4E95" w:rsidRDefault="008E09AE" w:rsidP="00B63D04">
      <w:pPr>
        <w:pStyle w:val="Default"/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ab/>
      </w:r>
    </w:p>
    <w:p w14:paraId="305649B7" w14:textId="77777777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David Shaw </w:t>
      </w:r>
    </w:p>
    <w:p w14:paraId="7956B7C3" w14:textId="77777777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Ronnie Davidson </w:t>
      </w:r>
    </w:p>
    <w:p w14:paraId="0ED49C38" w14:textId="77777777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Mary Evans </w:t>
      </w:r>
    </w:p>
    <w:p w14:paraId="0D79C4DF" w14:textId="77777777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Mike Gibson </w:t>
      </w:r>
    </w:p>
    <w:p w14:paraId="13825F27" w14:textId="77777777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Andy Laverty </w:t>
      </w:r>
    </w:p>
    <w:p w14:paraId="0B89213B" w14:textId="1773ED40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Peter Lederer </w:t>
      </w:r>
    </w:p>
    <w:p w14:paraId="1539E6C1" w14:textId="0B1C91A0" w:rsidR="008E09AE" w:rsidRPr="008C4E95" w:rsidRDefault="008E09AE" w:rsidP="00B63D04">
      <w:pPr>
        <w:pStyle w:val="Default"/>
        <w:numPr>
          <w:ilvl w:val="0"/>
          <w:numId w:val="3"/>
        </w:numPr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>Karen McGill</w:t>
      </w:r>
    </w:p>
    <w:p w14:paraId="44D0CB7F" w14:textId="77777777" w:rsidR="008E09AE" w:rsidRPr="008C4E95" w:rsidRDefault="008E09AE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</w:rPr>
      </w:pPr>
    </w:p>
    <w:p w14:paraId="493FDB09" w14:textId="77777777" w:rsidR="004C7553" w:rsidRPr="008C4E95" w:rsidRDefault="004C7553" w:rsidP="00B63D04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 xml:space="preserve">5. </w:t>
      </w:r>
      <w:r w:rsidRPr="008C4E95">
        <w:rPr>
          <w:rFonts w:cs="Arial"/>
          <w:color w:val="244061" w:themeColor="accent1" w:themeShade="80"/>
          <w:sz w:val="26"/>
          <w:szCs w:val="26"/>
        </w:rPr>
        <w:tab/>
      </w: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Re-appointment of Auditors</w:t>
      </w:r>
    </w:p>
    <w:p w14:paraId="31C2B9B8" w14:textId="69CC119D" w:rsidR="004C7553" w:rsidRPr="008C4E95" w:rsidRDefault="000F7F22" w:rsidP="00B63D04">
      <w:pPr>
        <w:spacing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 xml:space="preserve">The re-appointment of </w:t>
      </w:r>
      <w:r w:rsidR="004C7553" w:rsidRPr="008C4E95">
        <w:rPr>
          <w:bCs/>
          <w:snapToGrid w:val="0"/>
          <w:color w:val="244061" w:themeColor="accent1" w:themeShade="80"/>
          <w:sz w:val="26"/>
          <w:szCs w:val="26"/>
        </w:rPr>
        <w:t xml:space="preserve">Thomson Cooper </w:t>
      </w:r>
      <w:r w:rsidRPr="008C4E95">
        <w:rPr>
          <w:rFonts w:cs="Arial"/>
          <w:color w:val="244061" w:themeColor="accent1" w:themeShade="80"/>
          <w:sz w:val="26"/>
          <w:szCs w:val="26"/>
        </w:rPr>
        <w:t xml:space="preserve">as auditors to the Company was approved with no objections. </w:t>
      </w:r>
    </w:p>
    <w:p w14:paraId="41D4AB41" w14:textId="275A9728" w:rsidR="003B72FC" w:rsidRPr="008C4E95" w:rsidRDefault="003B72FC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340E1BBC" w14:textId="3807EB57" w:rsidR="003B72FC" w:rsidRPr="008C4E95" w:rsidRDefault="008E09AE" w:rsidP="00B63D04">
      <w:pPr>
        <w:spacing w:line="276" w:lineRule="auto"/>
        <w:rPr>
          <w:color w:val="244061" w:themeColor="accent1" w:themeShade="80"/>
          <w:sz w:val="26"/>
          <w:szCs w:val="26"/>
          <w:u w:val="single"/>
        </w:rPr>
      </w:pPr>
      <w:r w:rsidRPr="008C4E95">
        <w:rPr>
          <w:color w:val="244061" w:themeColor="accent1" w:themeShade="80"/>
          <w:sz w:val="26"/>
          <w:szCs w:val="26"/>
        </w:rPr>
        <w:lastRenderedPageBreak/>
        <w:t xml:space="preserve">6. </w:t>
      </w: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  <w:u w:val="single"/>
        </w:rPr>
        <w:t>Special Resolution Number 1</w:t>
      </w:r>
    </w:p>
    <w:p w14:paraId="3A589EA3" w14:textId="6939F5E2" w:rsidR="00B63D04" w:rsidRPr="008C4E95" w:rsidRDefault="00B63D04" w:rsidP="00B63D04">
      <w:pPr>
        <w:spacing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The terms of Articles 5.1 and 6.3 of the current Articles of Association of the Company were amended to accept and include the changes highlighted below with no objections:</w:t>
      </w:r>
    </w:p>
    <w:p w14:paraId="74DCC051" w14:textId="5BBC2EC5" w:rsidR="008E09AE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  <w:r w:rsidRPr="008C4E95">
        <w:rPr>
          <w:rFonts w:cs="Arial"/>
          <w:noProof/>
          <w:color w:val="244061" w:themeColor="accent1" w:themeShade="8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B3176" wp14:editId="4C65673E">
                <wp:simplePos x="0" y="0"/>
                <wp:positionH relativeFrom="column">
                  <wp:posOffset>-38100</wp:posOffset>
                </wp:positionH>
                <wp:positionV relativeFrom="paragraph">
                  <wp:posOffset>353695</wp:posOffset>
                </wp:positionV>
                <wp:extent cx="5760720" cy="2514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1680" w14:textId="77777777" w:rsidR="00B63D04" w:rsidRDefault="00B63D04" w:rsidP="00B63D04">
                            <w:pPr>
                              <w:pStyle w:val="Level2"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ind w:left="142" w:firstLine="0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 In the Memorandum of Association, Article </w:t>
                            </w:r>
                            <w:r w:rsidRPr="00F50BD5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5.1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C8134E" w14:textId="77777777" w:rsidR="00B63D04" w:rsidRPr="00F50BD5" w:rsidRDefault="00B63D04" w:rsidP="00B63D04">
                            <w:pPr>
                              <w:pStyle w:val="Level2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ind w:left="720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At the end of the last sentence add “</w:t>
                            </w:r>
                            <w:r w:rsidRPr="00F50BD5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and may be held using a remote electronic platform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”</w:t>
                            </w:r>
                            <w:r w:rsidRPr="00F50BD5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A9952E8" w14:textId="77777777" w:rsidR="00B63D04" w:rsidRDefault="00B63D04" w:rsidP="00B63D04">
                            <w:pPr>
                              <w:pStyle w:val="Level2"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ind w:left="142" w:firstLine="0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 In the Memorandum of Association, Article 6.3:</w:t>
                            </w:r>
                          </w:p>
                          <w:p w14:paraId="370E5145" w14:textId="77777777" w:rsidR="00B63D04" w:rsidRPr="00F50BD5" w:rsidRDefault="00B63D04" w:rsidP="00B63D04">
                            <w:pPr>
                              <w:pStyle w:val="Level2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ind w:left="720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In the first line, after “A notice calling a meeting shall specify the time and place of the meeting” add “</w:t>
                            </w:r>
                            <w:r w:rsidRPr="00F50BD5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and contain details of how remote access is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0BD5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achieved, if appropriate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3B508661" w14:textId="77777777" w:rsidR="00B63D04" w:rsidRDefault="00B63D04" w:rsidP="00B63D04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B3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7.85pt;width:453.6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" fillcolor="#eaf1dd [662]">
                <v:textbox>
                  <w:txbxContent>
                    <w:p w14:paraId="620C1680" w14:textId="77777777" w:rsidR="00B63D04" w:rsidRDefault="00B63D04" w:rsidP="00B63D04">
                      <w:pPr>
                        <w:pStyle w:val="Level2"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ind w:left="142" w:firstLine="0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 In the Memorandum of Association, Article </w:t>
                      </w:r>
                      <w:r w:rsidRPr="00F50BD5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5.1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:</w:t>
                      </w:r>
                    </w:p>
                    <w:p w14:paraId="04C8134E" w14:textId="77777777" w:rsidR="00B63D04" w:rsidRPr="00F50BD5" w:rsidRDefault="00B63D04" w:rsidP="00B63D04">
                      <w:pPr>
                        <w:pStyle w:val="Level2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ind w:left="720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At the end of the last sentence add “</w:t>
                      </w:r>
                      <w:r w:rsidRPr="00F50BD5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and may be held using a remote electronic platform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”</w:t>
                      </w:r>
                      <w:r w:rsidRPr="00F50BD5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A9952E8" w14:textId="77777777" w:rsidR="00B63D04" w:rsidRDefault="00B63D04" w:rsidP="00B63D04">
                      <w:pPr>
                        <w:pStyle w:val="Level2"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ind w:left="142" w:firstLine="0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 In the Memorandum of Association, Article 6.3:</w:t>
                      </w:r>
                    </w:p>
                    <w:p w14:paraId="370E5145" w14:textId="77777777" w:rsidR="00B63D04" w:rsidRPr="00F50BD5" w:rsidRDefault="00B63D04" w:rsidP="00B63D04">
                      <w:pPr>
                        <w:pStyle w:val="Level2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ind w:left="720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In the first line, after “A notice calling a meeting shall specify the time and place of the meeting” add “</w:t>
                      </w:r>
                      <w:r w:rsidRPr="00F50BD5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and contain details of how remote access is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F50BD5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achieved, if appropriate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3B508661" w14:textId="77777777" w:rsidR="00B63D04" w:rsidRDefault="00B63D04" w:rsidP="00B63D04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3C330" w14:textId="77777777" w:rsidR="008E09AE" w:rsidRPr="008C4E95" w:rsidRDefault="008E09AE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7375ED69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5C321D58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7FADF331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3BA274E2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383EBD13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14868DAC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5CD09938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4521853B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508DF75A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4DE9B727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668FE079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0F03BBE8" w14:textId="6F35306E" w:rsidR="008E09AE" w:rsidRPr="008C4E95" w:rsidRDefault="008E09AE" w:rsidP="00B63D04">
      <w:pPr>
        <w:spacing w:line="276" w:lineRule="auto"/>
        <w:rPr>
          <w:color w:val="244061" w:themeColor="accent1" w:themeShade="80"/>
          <w:sz w:val="26"/>
          <w:szCs w:val="26"/>
        </w:rPr>
      </w:pPr>
      <w:r w:rsidRPr="008C4E95">
        <w:rPr>
          <w:color w:val="244061" w:themeColor="accent1" w:themeShade="80"/>
          <w:sz w:val="26"/>
          <w:szCs w:val="26"/>
        </w:rPr>
        <w:t xml:space="preserve">7. </w:t>
      </w:r>
      <w:r w:rsidRPr="008C4E95">
        <w:rPr>
          <w:color w:val="244061" w:themeColor="accent1" w:themeShade="80"/>
          <w:sz w:val="26"/>
          <w:szCs w:val="26"/>
        </w:rPr>
        <w:tab/>
      </w:r>
      <w:r w:rsidRPr="008C4E95">
        <w:rPr>
          <w:color w:val="244061" w:themeColor="accent1" w:themeShade="80"/>
          <w:sz w:val="26"/>
          <w:szCs w:val="26"/>
          <w:u w:val="single"/>
        </w:rPr>
        <w:t>Special Resolution Number 2</w:t>
      </w:r>
    </w:p>
    <w:p w14:paraId="5251CF70" w14:textId="3FAB72FE" w:rsidR="004C7553" w:rsidRPr="008C4E95" w:rsidRDefault="004C7553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2F673FE2" w14:textId="0136FA68" w:rsidR="008E09AE" w:rsidRPr="008C4E95" w:rsidRDefault="00B63D04" w:rsidP="00B63D04">
      <w:pPr>
        <w:spacing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The terms of Article 14.1.</w:t>
      </w:r>
      <w:r w:rsidR="00B41C42">
        <w:rPr>
          <w:rFonts w:cs="Arial"/>
          <w:color w:val="244061" w:themeColor="accent1" w:themeShade="80"/>
          <w:sz w:val="26"/>
          <w:szCs w:val="26"/>
        </w:rPr>
        <w:t>1</w:t>
      </w:r>
      <w:r w:rsidRPr="008C4E95">
        <w:rPr>
          <w:rFonts w:cs="Arial"/>
          <w:color w:val="244061" w:themeColor="accent1" w:themeShade="80"/>
          <w:sz w:val="26"/>
          <w:szCs w:val="26"/>
        </w:rPr>
        <w:t xml:space="preserve"> of the current Articles of Association of the Company were amended to accept and include the change highlighted below with no objections:</w:t>
      </w:r>
    </w:p>
    <w:p w14:paraId="443E067B" w14:textId="731A4168" w:rsidR="00B63D04" w:rsidRPr="008C4E95" w:rsidRDefault="00B63D04" w:rsidP="00B63D04">
      <w:pPr>
        <w:spacing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514C39BA" w14:textId="1F2EB2AD" w:rsidR="00B63D04" w:rsidRPr="008C4E95" w:rsidRDefault="00B63D04" w:rsidP="00B63D04">
      <w:pPr>
        <w:spacing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noProof/>
          <w:color w:val="244061" w:themeColor="accent1" w:themeShade="8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895EB4" wp14:editId="7A0300A5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745480" cy="24688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68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807B" w14:textId="77777777" w:rsidR="00B63D04" w:rsidRDefault="00B63D04" w:rsidP="00B63D04">
                            <w:pPr>
                              <w:pStyle w:val="Level3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spacing w:line="240" w:lineRule="auto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A5E2E"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REPLACE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9DC35B" w14:textId="5C7ABC33" w:rsidR="00B63D04" w:rsidRDefault="00B63D04" w:rsidP="00B63D04">
                            <w:pPr>
                              <w:pStyle w:val="Level3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0528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14.1.</w:t>
                            </w:r>
                            <w:r w:rsidR="0083204E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1</w:t>
                            </w:r>
                            <w:r w:rsidRPr="00640528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. There shall be minimum of five and a maximum of 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nine</w:t>
                            </w:r>
                            <w:r w:rsidRPr="00640528"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 xml:space="preserve">Directors </w:t>
                            </w:r>
                            <w:r w:rsidRPr="00640528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on the Board, no fewer than 2 of whom shall be Council membe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rs and nominated by Council; and</w:t>
                            </w:r>
                          </w:p>
                          <w:p w14:paraId="475C3746" w14:textId="77777777" w:rsidR="00B63D04" w:rsidRDefault="00B63D04" w:rsidP="00B63D04">
                            <w:pPr>
                              <w:pStyle w:val="Level3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spacing w:line="240" w:lineRule="auto"/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A5E2E"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7C161A1" w14:textId="6C2FB65A" w:rsidR="00B63D04" w:rsidRPr="00EA5E2E" w:rsidRDefault="00B63D04" w:rsidP="00B63D04">
                            <w:pPr>
                              <w:pStyle w:val="Level3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14.1.</w:t>
                            </w:r>
                            <w:r w:rsidR="0083204E"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</w:rPr>
                              <w:t>.  There shall be a minimum of five and a maximum of twelve Directors on the Board, no fewer than 2 of whom shall be Council members and nominated by Council; and</w:t>
                            </w:r>
                          </w:p>
                          <w:p w14:paraId="10CB383B" w14:textId="77777777" w:rsidR="00B63D04" w:rsidRPr="003F0FAC" w:rsidRDefault="00B63D04" w:rsidP="00B63D04">
                            <w:pPr>
                              <w:pStyle w:val="Level3"/>
                              <w:numPr>
                                <w:ilvl w:val="0"/>
                                <w:numId w:val="0"/>
                              </w:numPr>
                              <w:shd w:val="clear" w:color="auto" w:fill="EAF1DD" w:themeFill="accent3" w:themeFillTint="33"/>
                              <w:ind w:left="1980"/>
                              <w:rPr>
                                <w:rFonts w:ascii="Century Gothic" w:hAnsi="Century Gothic" w:cs="Arial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F38E1A2" w14:textId="77777777" w:rsidR="00B63D04" w:rsidRDefault="00B63D04" w:rsidP="00B63D04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5EB4" id="_x0000_s1027" type="#_x0000_t202" style="position:absolute;margin-left:0;margin-top:19.35pt;width:452.4pt;height:1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" fillcolor="#eaf1dd [662]">
                <v:textbox>
                  <w:txbxContent>
                    <w:p w14:paraId="1E90807B" w14:textId="77777777" w:rsidR="00B63D04" w:rsidRDefault="00B63D04" w:rsidP="00B63D04">
                      <w:pPr>
                        <w:pStyle w:val="Level3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spacing w:line="240" w:lineRule="auto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 w:rsidRPr="00EA5E2E">
                        <w:rPr>
                          <w:rFonts w:ascii="Century Gothic" w:hAnsi="Century Gothic" w:cs="Arial"/>
                          <w:b/>
                          <w:color w:val="002060"/>
                          <w:sz w:val="22"/>
                          <w:szCs w:val="22"/>
                        </w:rPr>
                        <w:t>REPLACE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:</w:t>
                      </w:r>
                    </w:p>
                    <w:p w14:paraId="289DC35B" w14:textId="5C7ABC33" w:rsidR="00B63D04" w:rsidRDefault="00B63D04" w:rsidP="00B63D04">
                      <w:pPr>
                        <w:pStyle w:val="Level3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 w:rsidRPr="00640528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14.1.</w:t>
                      </w:r>
                      <w:r w:rsidR="0083204E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1</w:t>
                      </w:r>
                      <w:r w:rsidRPr="00640528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. There shall be minimum of five and a maximum of 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nine</w:t>
                      </w:r>
                      <w:r w:rsidRPr="00640528">
                        <w:rPr>
                          <w:rFonts w:ascii="Century Gothic" w:hAnsi="Century Gothic" w:cs="Arial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 xml:space="preserve">Directors </w:t>
                      </w:r>
                      <w:r w:rsidRPr="00640528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on the Board, no fewer than 2 of whom shall be Council membe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rs and nominated by Council; and</w:t>
                      </w:r>
                    </w:p>
                    <w:p w14:paraId="475C3746" w14:textId="77777777" w:rsidR="00B63D04" w:rsidRDefault="00B63D04" w:rsidP="00B63D04">
                      <w:pPr>
                        <w:pStyle w:val="Level3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spacing w:line="240" w:lineRule="auto"/>
                        <w:rPr>
                          <w:rFonts w:ascii="Century Gothic" w:hAnsi="Century Gothic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EA5E2E">
                        <w:rPr>
                          <w:rFonts w:ascii="Century Gothic" w:hAnsi="Century Gothic" w:cs="Arial"/>
                          <w:b/>
                          <w:color w:val="00206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Century Gothic" w:hAnsi="Century Gothic" w:cs="Arial"/>
                          <w:b/>
                          <w:color w:val="002060"/>
                          <w:sz w:val="22"/>
                          <w:szCs w:val="22"/>
                        </w:rPr>
                        <w:t>:</w:t>
                      </w:r>
                    </w:p>
                    <w:p w14:paraId="37C161A1" w14:textId="6C2FB65A" w:rsidR="00B63D04" w:rsidRPr="00EA5E2E" w:rsidRDefault="00B63D04" w:rsidP="00B63D04">
                      <w:pPr>
                        <w:pStyle w:val="Level3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14.1.</w:t>
                      </w:r>
                      <w:r w:rsidR="0083204E"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</w:rPr>
                        <w:t>.  There shall be a minimum of five and a maximum of twelve Directors on the Board, no fewer than 2 of whom shall be Council members and nominated by Council; and</w:t>
                      </w:r>
                    </w:p>
                    <w:p w14:paraId="10CB383B" w14:textId="77777777" w:rsidR="00B63D04" w:rsidRPr="003F0FAC" w:rsidRDefault="00B63D04" w:rsidP="00B63D04">
                      <w:pPr>
                        <w:pStyle w:val="Level3"/>
                        <w:numPr>
                          <w:ilvl w:val="0"/>
                          <w:numId w:val="0"/>
                        </w:numPr>
                        <w:shd w:val="clear" w:color="auto" w:fill="EAF1DD" w:themeFill="accent3" w:themeFillTint="33"/>
                        <w:ind w:left="1980"/>
                        <w:rPr>
                          <w:rFonts w:ascii="Century Gothic" w:hAnsi="Century Gothic" w:cs="Arial"/>
                          <w:color w:val="002060"/>
                          <w:sz w:val="22"/>
                          <w:szCs w:val="22"/>
                          <w:u w:val="single"/>
                        </w:rPr>
                      </w:pPr>
                    </w:p>
                    <w:p w14:paraId="5F38E1A2" w14:textId="77777777" w:rsidR="00B63D04" w:rsidRDefault="00B63D04" w:rsidP="00B63D04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0A995" w14:textId="77777777" w:rsidR="00B63D04" w:rsidRPr="008C4E95" w:rsidRDefault="00B63D04" w:rsidP="00B63D04">
      <w:pPr>
        <w:spacing w:line="276" w:lineRule="auto"/>
        <w:rPr>
          <w:color w:val="244061" w:themeColor="accent1" w:themeShade="80"/>
          <w:sz w:val="26"/>
          <w:szCs w:val="26"/>
        </w:rPr>
      </w:pPr>
    </w:p>
    <w:p w14:paraId="6DD47AA1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6DE6692E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36D45757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6401834A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4443D8A7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715584EA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382F069E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5FB95A97" w14:textId="77777777" w:rsidR="00B63D04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p w14:paraId="278FD23B" w14:textId="69A450B7" w:rsidR="004C7553" w:rsidRPr="008C4E95" w:rsidRDefault="008E09AE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lastRenderedPageBreak/>
        <w:t>8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.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ab/>
      </w:r>
      <w:r w:rsidR="004C7553" w:rsidRPr="008C4E95">
        <w:rPr>
          <w:rFonts w:cs="Arial"/>
          <w:color w:val="244061" w:themeColor="accent1" w:themeShade="80"/>
          <w:sz w:val="26"/>
          <w:szCs w:val="26"/>
          <w:u w:val="single"/>
        </w:rPr>
        <w:t>Auditors’ Remuneration</w:t>
      </w:r>
    </w:p>
    <w:p w14:paraId="5DAE195D" w14:textId="2B21518F" w:rsidR="00B63D04" w:rsidRPr="008C4E95" w:rsidRDefault="000F7F22" w:rsidP="00D553FA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 xml:space="preserve">Authorisation for 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the directors to fix t</w:t>
      </w:r>
      <w:r w:rsidRPr="008C4E95">
        <w:rPr>
          <w:rFonts w:cs="Arial"/>
          <w:color w:val="244061" w:themeColor="accent1" w:themeShade="80"/>
          <w:sz w:val="26"/>
          <w:szCs w:val="26"/>
        </w:rPr>
        <w:t>he remuneration of the auditors was given with no objections.</w:t>
      </w:r>
    </w:p>
    <w:p w14:paraId="1506ABAF" w14:textId="6A680A30" w:rsidR="004C7553" w:rsidRPr="008C4E95" w:rsidRDefault="008E09AE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  <w:u w:val="single"/>
        </w:rPr>
      </w:pPr>
      <w:r w:rsidRPr="008C4E95">
        <w:rPr>
          <w:rFonts w:cs="Arial"/>
          <w:color w:val="244061" w:themeColor="accent1" w:themeShade="80"/>
          <w:sz w:val="26"/>
          <w:szCs w:val="26"/>
        </w:rPr>
        <w:t>9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>.</w:t>
      </w:r>
      <w:r w:rsidR="004C7553" w:rsidRPr="008C4E95">
        <w:rPr>
          <w:rFonts w:cs="Arial"/>
          <w:color w:val="244061" w:themeColor="accent1" w:themeShade="80"/>
          <w:sz w:val="26"/>
          <w:szCs w:val="26"/>
        </w:rPr>
        <w:tab/>
      </w:r>
      <w:r w:rsidR="004C7553" w:rsidRPr="008C4E95">
        <w:rPr>
          <w:rFonts w:cs="Arial"/>
          <w:color w:val="244061" w:themeColor="accent1" w:themeShade="80"/>
          <w:sz w:val="26"/>
          <w:szCs w:val="26"/>
          <w:u w:val="single"/>
        </w:rPr>
        <w:t>Any Other Business</w:t>
      </w:r>
    </w:p>
    <w:p w14:paraId="1BB8745D" w14:textId="5E9FA2A1" w:rsidR="00412D77" w:rsidRDefault="00504AE5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>
        <w:rPr>
          <w:rFonts w:cs="Arial"/>
          <w:color w:val="244061" w:themeColor="accent1" w:themeShade="80"/>
          <w:sz w:val="26"/>
          <w:szCs w:val="26"/>
        </w:rPr>
        <w:t xml:space="preserve">Chairman </w:t>
      </w:r>
      <w:r w:rsidR="00412D77" w:rsidRPr="00412D77">
        <w:rPr>
          <w:rFonts w:cs="Arial"/>
          <w:color w:val="244061" w:themeColor="accent1" w:themeShade="80"/>
          <w:sz w:val="26"/>
          <w:szCs w:val="26"/>
        </w:rPr>
        <w:t xml:space="preserve">David Shaw concluded by passing his thanks on to the staff team at Dyslexia Scotland </w:t>
      </w:r>
      <w:r w:rsidR="00412D77">
        <w:rPr>
          <w:rFonts w:cs="Arial"/>
          <w:color w:val="244061" w:themeColor="accent1" w:themeShade="80"/>
          <w:sz w:val="26"/>
          <w:szCs w:val="26"/>
        </w:rPr>
        <w:t xml:space="preserve">who have continued to provide a range of services throughout the pandemic and to all the volunteers who help with this.  He thanked Dyslexia Scotland President Sir Jackie Stewart who is a constant support in the background.  He also acknowledged Dyslexia Scotland’s Ambassadors who contribute in so many ways. </w:t>
      </w:r>
    </w:p>
    <w:p w14:paraId="7C6A42CB" w14:textId="1EF4F7C2" w:rsidR="00412D77" w:rsidRPr="00412D77" w:rsidRDefault="00412D77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  <w:r>
        <w:rPr>
          <w:rFonts w:cs="Arial"/>
          <w:color w:val="244061" w:themeColor="accent1" w:themeShade="80"/>
          <w:sz w:val="26"/>
          <w:szCs w:val="26"/>
        </w:rPr>
        <w:t xml:space="preserve">Finally David </w:t>
      </w:r>
      <w:r w:rsidR="00504AE5">
        <w:rPr>
          <w:rFonts w:cs="Arial"/>
          <w:color w:val="244061" w:themeColor="accent1" w:themeShade="80"/>
          <w:sz w:val="26"/>
          <w:szCs w:val="26"/>
        </w:rPr>
        <w:t>gave his sincere thanks to</w:t>
      </w:r>
      <w:r>
        <w:rPr>
          <w:rFonts w:cs="Arial"/>
          <w:color w:val="244061" w:themeColor="accent1" w:themeShade="80"/>
          <w:sz w:val="26"/>
          <w:szCs w:val="26"/>
        </w:rPr>
        <w:t xml:space="preserve"> Julia Trotter who is standing down as Vice President of Dyslexia Scotland after 36 years of dedicated service. </w:t>
      </w:r>
    </w:p>
    <w:p w14:paraId="6F900F68" w14:textId="3ED5660A" w:rsidR="008E09AE" w:rsidRPr="008C4E95" w:rsidRDefault="00B63D04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  <w:u w:val="single"/>
        </w:rPr>
      </w:pP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12D77" w14:paraId="34477793" w14:textId="77777777" w:rsidTr="00412D77">
        <w:tc>
          <w:tcPr>
            <w:tcW w:w="5098" w:type="dxa"/>
          </w:tcPr>
          <w:p w14:paraId="015D976D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Susan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Agnew</w:t>
            </w:r>
          </w:p>
          <w:p w14:paraId="7E86EDA9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Wendy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Auld</w:t>
            </w:r>
          </w:p>
          <w:p w14:paraId="19586E06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Yvonne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Campbell</w:t>
            </w:r>
          </w:p>
          <w:p w14:paraId="7081A455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Katie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ab/>
              <w:t>Carmichael</w:t>
            </w:r>
          </w:p>
          <w:p w14:paraId="388A4E03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Tessa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ab/>
              <w:t>Coupar</w:t>
            </w:r>
          </w:p>
          <w:p w14:paraId="2CDF89C1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Margaret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Crombie</w:t>
            </w:r>
          </w:p>
          <w:p w14:paraId="16B48197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Carole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Darmady</w:t>
            </w:r>
          </w:p>
          <w:p w14:paraId="25DC347B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Ronnie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Davidson</w:t>
            </w:r>
          </w:p>
          <w:p w14:paraId="0BD6161F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Mary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ab/>
              <w:t>Evans</w:t>
            </w:r>
          </w:p>
          <w:p w14:paraId="2F1B6905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Aileen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Farquhar</w:t>
            </w:r>
          </w:p>
          <w:p w14:paraId="4998C2C7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Helen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Fleming</w:t>
            </w:r>
          </w:p>
          <w:p w14:paraId="04751D98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Mike</w:t>
            </w: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Gibson</w:t>
            </w:r>
          </w:p>
          <w:p w14:paraId="1BFD06C5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Lena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Gillies</w:t>
            </w:r>
          </w:p>
          <w:p w14:paraId="54F97008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Andrew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Laverty</w:t>
            </w:r>
          </w:p>
          <w:p w14:paraId="004BD327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Peter J.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Lederer, CBE</w:t>
            </w:r>
          </w:p>
          <w:p w14:paraId="609447F9" w14:textId="50CB3DF3" w:rsidR="00412D77" w:rsidRDefault="00412D77" w:rsidP="00FD032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>Irene</w:t>
            </w: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ab/>
              <w:t>Lumsden</w:t>
            </w:r>
          </w:p>
        </w:tc>
        <w:tc>
          <w:tcPr>
            <w:tcW w:w="5098" w:type="dxa"/>
          </w:tcPr>
          <w:p w14:paraId="470A9126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Cathy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Magee</w:t>
            </w:r>
          </w:p>
          <w:p w14:paraId="7B6F3857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Lucy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McCappin</w:t>
            </w:r>
          </w:p>
          <w:p w14:paraId="74D16421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Karen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McGill</w:t>
            </w:r>
          </w:p>
          <w:p w14:paraId="1FFB3004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Sheila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McLaughlin</w:t>
            </w:r>
          </w:p>
          <w:p w14:paraId="026DBDD5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Hazel</w:t>
            </w: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McPake</w:t>
            </w:r>
          </w:p>
          <w:p w14:paraId="47184695" w14:textId="75F838D9" w:rsidR="00412D77" w:rsidRPr="00FD0327" w:rsidRDefault="00504AE5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>Kris Munro</w:t>
            </w:r>
          </w:p>
          <w:p w14:paraId="0958906F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Robert K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Pickup</w:t>
            </w:r>
          </w:p>
          <w:p w14:paraId="25A9B5B0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Carole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Price</w:t>
            </w:r>
          </w:p>
          <w:p w14:paraId="7AABDFB9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Vicki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Renton</w:t>
            </w:r>
          </w:p>
          <w:p w14:paraId="2EB2C4A7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Liz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Rodger</w:t>
            </w:r>
          </w:p>
          <w:p w14:paraId="1B2F0BAB" w14:textId="64A29840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David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Shaw</w:t>
            </w: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 (Chair)</w:t>
            </w:r>
          </w:p>
          <w:p w14:paraId="76DF6028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Seona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Stevenson</w:t>
            </w:r>
          </w:p>
          <w:p w14:paraId="7278D1D8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Mark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ab/>
              <w:t>Stoddart</w:t>
            </w:r>
          </w:p>
          <w:p w14:paraId="20173A4A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Susan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Taylor</w:t>
            </w:r>
          </w:p>
          <w:p w14:paraId="3623F53C" w14:textId="77777777" w:rsidR="00412D77" w:rsidRPr="00FD0327" w:rsidRDefault="00412D77" w:rsidP="00412D7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 xml:space="preserve">Jennifer </w:t>
            </w:r>
            <w:r w:rsidRPr="00FD0327">
              <w:rPr>
                <w:rFonts w:cs="Arial"/>
                <w:color w:val="244061" w:themeColor="accent1" w:themeShade="80"/>
                <w:sz w:val="26"/>
                <w:szCs w:val="26"/>
              </w:rPr>
              <w:t>Teague</w:t>
            </w:r>
          </w:p>
          <w:p w14:paraId="3399F48C" w14:textId="37EB5C70" w:rsidR="00412D77" w:rsidRDefault="00412D77" w:rsidP="00FD0327">
            <w:pPr>
              <w:rPr>
                <w:rFonts w:cs="Arial"/>
                <w:color w:val="244061" w:themeColor="accent1" w:themeShade="80"/>
                <w:sz w:val="26"/>
                <w:szCs w:val="26"/>
              </w:rPr>
            </w:pPr>
            <w:r>
              <w:rPr>
                <w:rFonts w:cs="Arial"/>
                <w:color w:val="244061" w:themeColor="accent1" w:themeShade="80"/>
                <w:sz w:val="26"/>
                <w:szCs w:val="26"/>
              </w:rPr>
              <w:t>David Thomson</w:t>
            </w:r>
          </w:p>
        </w:tc>
      </w:tr>
    </w:tbl>
    <w:p w14:paraId="716E6E5D" w14:textId="78204575" w:rsidR="00FD0327" w:rsidRPr="008C4E95" w:rsidRDefault="00FD0327" w:rsidP="00FD0327">
      <w:pPr>
        <w:rPr>
          <w:rFonts w:cs="Arial"/>
          <w:color w:val="244061" w:themeColor="accent1" w:themeShade="80"/>
          <w:sz w:val="26"/>
          <w:szCs w:val="26"/>
        </w:rPr>
      </w:pPr>
    </w:p>
    <w:p w14:paraId="3F9875ED" w14:textId="448E784D" w:rsidR="008E09AE" w:rsidRDefault="008E09AE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  <w:u w:val="single"/>
        </w:rPr>
      </w:pPr>
      <w:r w:rsidRPr="008C4E95">
        <w:rPr>
          <w:rFonts w:cs="Arial"/>
          <w:color w:val="244061" w:themeColor="accent1" w:themeShade="80"/>
          <w:sz w:val="26"/>
          <w:szCs w:val="26"/>
          <w:u w:val="single"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12D77" w14:paraId="7C6969F2" w14:textId="77777777" w:rsidTr="00412D77">
        <w:tc>
          <w:tcPr>
            <w:tcW w:w="5098" w:type="dxa"/>
          </w:tcPr>
          <w:p w14:paraId="26C00B5C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Vin Arthey </w:t>
            </w:r>
          </w:p>
          <w:p w14:paraId="30809706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Caroline Bennett </w:t>
            </w:r>
          </w:p>
          <w:p w14:paraId="502E8969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 w:rsidRPr="008C4E95">
              <w:rPr>
                <w:color w:val="244061" w:themeColor="accent1" w:themeShade="80"/>
                <w:sz w:val="26"/>
                <w:szCs w:val="26"/>
              </w:rPr>
              <w:t>Christine Brennan</w:t>
            </w:r>
            <w:r>
              <w:rPr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14:paraId="245A5EE2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Debbie Campbell </w:t>
            </w:r>
          </w:p>
          <w:p w14:paraId="39F6C07F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>Tracy Clark</w:t>
            </w:r>
          </w:p>
          <w:p w14:paraId="4A438B0C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lastRenderedPageBreak/>
              <w:t xml:space="preserve">Margaret Crankshaw </w:t>
            </w:r>
          </w:p>
          <w:p w14:paraId="1C3A2D12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Hilary Davies </w:t>
            </w:r>
          </w:p>
          <w:p w14:paraId="7EDFB99E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Ailsa Duman </w:t>
            </w:r>
          </w:p>
          <w:p w14:paraId="67E0D76F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Sharon Hall </w:t>
            </w:r>
          </w:p>
          <w:p w14:paraId="37B5B30A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Elaine Henderson </w:t>
            </w:r>
          </w:p>
          <w:p w14:paraId="50A247D2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Morven Hulks </w:t>
            </w:r>
          </w:p>
          <w:p w14:paraId="7CAA1E2C" w14:textId="677EF4D1" w:rsidR="00412D77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Anna Jack-Waugh </w:t>
            </w:r>
          </w:p>
          <w:p w14:paraId="3EF40FBB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Helen Johnston-Morris </w:t>
            </w:r>
          </w:p>
          <w:p w14:paraId="778B044A" w14:textId="1E3EF13D" w:rsidR="00412D77" w:rsidRPr="00412D77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Susie Jones </w:t>
            </w:r>
          </w:p>
        </w:tc>
        <w:tc>
          <w:tcPr>
            <w:tcW w:w="5098" w:type="dxa"/>
          </w:tcPr>
          <w:p w14:paraId="01ADBF6B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lastRenderedPageBreak/>
              <w:t xml:space="preserve">Doreen Kelly </w:t>
            </w:r>
          </w:p>
          <w:p w14:paraId="019520D9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Alison Lloyd </w:t>
            </w:r>
          </w:p>
          <w:p w14:paraId="5119E86B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Basia McDougall </w:t>
            </w:r>
          </w:p>
          <w:p w14:paraId="69F63B90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Jan McGregor </w:t>
            </w:r>
          </w:p>
          <w:p w14:paraId="2657E339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Marjory Mulholland </w:t>
            </w:r>
          </w:p>
          <w:p w14:paraId="14B4C85E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lastRenderedPageBreak/>
              <w:t xml:space="preserve">Steven Naismith </w:t>
            </w:r>
          </w:p>
          <w:p w14:paraId="76777CA3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Nicola Rae </w:t>
            </w:r>
          </w:p>
          <w:p w14:paraId="60F565C9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Maggie Sherriff </w:t>
            </w:r>
          </w:p>
          <w:p w14:paraId="414EB180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Ewing Stewart </w:t>
            </w:r>
          </w:p>
          <w:p w14:paraId="02FC6168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Sarah Strachan </w:t>
            </w:r>
          </w:p>
          <w:p w14:paraId="27318775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Alex Tamime </w:t>
            </w:r>
          </w:p>
          <w:p w14:paraId="32266195" w14:textId="77777777" w:rsidR="00412D77" w:rsidRPr="008C4E95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Jennifer Thomas </w:t>
            </w:r>
          </w:p>
          <w:p w14:paraId="2B3070F0" w14:textId="7981F8B8" w:rsidR="00412D77" w:rsidRPr="00412D77" w:rsidRDefault="00412D77" w:rsidP="00412D77">
            <w:pPr>
              <w:rPr>
                <w:color w:val="244061" w:themeColor="accent1" w:themeShade="80"/>
                <w:sz w:val="26"/>
                <w:szCs w:val="26"/>
              </w:rPr>
            </w:pPr>
            <w:r>
              <w:rPr>
                <w:color w:val="244061" w:themeColor="accent1" w:themeShade="80"/>
                <w:sz w:val="26"/>
                <w:szCs w:val="26"/>
              </w:rPr>
              <w:t xml:space="preserve">Margaret Watson </w:t>
            </w:r>
          </w:p>
        </w:tc>
      </w:tr>
    </w:tbl>
    <w:p w14:paraId="28AA0D0C" w14:textId="77777777" w:rsidR="00412D77" w:rsidRPr="008C4E95" w:rsidRDefault="00412D77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  <w:u w:val="single"/>
        </w:rPr>
      </w:pPr>
    </w:p>
    <w:p w14:paraId="2BA5C378" w14:textId="77777777" w:rsidR="008E09AE" w:rsidRPr="008C4E95" w:rsidRDefault="008E09AE" w:rsidP="00B63D04">
      <w:pPr>
        <w:spacing w:after="240" w:line="276" w:lineRule="auto"/>
        <w:rPr>
          <w:rFonts w:cs="Arial"/>
          <w:color w:val="244061" w:themeColor="accent1" w:themeShade="80"/>
          <w:sz w:val="26"/>
          <w:szCs w:val="26"/>
        </w:rPr>
      </w:pPr>
    </w:p>
    <w:sectPr w:rsidR="008E09AE" w:rsidRPr="008C4E95" w:rsidSect="00B63D04">
      <w:footerReference w:type="default" r:id="rId11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27D8" w14:textId="77777777" w:rsidR="00772306" w:rsidRDefault="00772306" w:rsidP="00727DFF">
      <w:r>
        <w:separator/>
      </w:r>
    </w:p>
  </w:endnote>
  <w:endnote w:type="continuationSeparator" w:id="0">
    <w:p w14:paraId="35E66675" w14:textId="77777777" w:rsidR="00772306" w:rsidRDefault="00772306" w:rsidP="007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1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03D94" w14:textId="7B507FA4" w:rsidR="004C7553" w:rsidRDefault="004C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7310F" w14:textId="77777777" w:rsidR="00772306" w:rsidRDefault="0077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BB34" w14:textId="77777777" w:rsidR="00772306" w:rsidRDefault="00772306" w:rsidP="00727DFF">
      <w:r>
        <w:separator/>
      </w:r>
    </w:p>
  </w:footnote>
  <w:footnote w:type="continuationSeparator" w:id="0">
    <w:p w14:paraId="1127A0EC" w14:textId="77777777" w:rsidR="00772306" w:rsidRDefault="00772306" w:rsidP="007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7D"/>
    <w:multiLevelType w:val="multilevel"/>
    <w:tmpl w:val="E760E5B6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2880"/>
        </w:tabs>
        <w:ind w:left="2880" w:hanging="1152"/>
      </w:pPr>
    </w:lvl>
    <w:lvl w:ilvl="4">
      <w:start w:val="1"/>
      <w:numFmt w:val="decimal"/>
      <w:pStyle w:val="Level5"/>
      <w:isLgl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4536"/>
        </w:tabs>
        <w:ind w:left="4536" w:hanging="425"/>
      </w:p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1" w15:restartNumberingAfterBreak="0">
    <w:nsid w:val="1A7949FC"/>
    <w:multiLevelType w:val="multilevel"/>
    <w:tmpl w:val="343089D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C44372"/>
    <w:multiLevelType w:val="hybridMultilevel"/>
    <w:tmpl w:val="A412CCBE"/>
    <w:lvl w:ilvl="0" w:tplc="D83E8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DF0CA6"/>
    <w:multiLevelType w:val="hybridMultilevel"/>
    <w:tmpl w:val="0942A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A4072"/>
    <w:multiLevelType w:val="multilevel"/>
    <w:tmpl w:val="2DB020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E"/>
    <w:rsid w:val="000134DC"/>
    <w:rsid w:val="0006777D"/>
    <w:rsid w:val="00071439"/>
    <w:rsid w:val="00080757"/>
    <w:rsid w:val="000F7F22"/>
    <w:rsid w:val="00153696"/>
    <w:rsid w:val="001A4D82"/>
    <w:rsid w:val="00264994"/>
    <w:rsid w:val="00284C3D"/>
    <w:rsid w:val="0028755D"/>
    <w:rsid w:val="002D785F"/>
    <w:rsid w:val="002F1816"/>
    <w:rsid w:val="00301416"/>
    <w:rsid w:val="00327DF0"/>
    <w:rsid w:val="003A5DDA"/>
    <w:rsid w:val="003B72FC"/>
    <w:rsid w:val="003D43B4"/>
    <w:rsid w:val="00412D77"/>
    <w:rsid w:val="0041509D"/>
    <w:rsid w:val="004B7773"/>
    <w:rsid w:val="004C7553"/>
    <w:rsid w:val="00504AE5"/>
    <w:rsid w:val="0056183F"/>
    <w:rsid w:val="00564E3C"/>
    <w:rsid w:val="00574400"/>
    <w:rsid w:val="006165AF"/>
    <w:rsid w:val="00645959"/>
    <w:rsid w:val="006B79B5"/>
    <w:rsid w:val="0071516D"/>
    <w:rsid w:val="0072357C"/>
    <w:rsid w:val="00727DFF"/>
    <w:rsid w:val="00772306"/>
    <w:rsid w:val="00776008"/>
    <w:rsid w:val="00794B06"/>
    <w:rsid w:val="007D18C1"/>
    <w:rsid w:val="0083204E"/>
    <w:rsid w:val="008476C6"/>
    <w:rsid w:val="008C4E95"/>
    <w:rsid w:val="008E09AE"/>
    <w:rsid w:val="008E46EF"/>
    <w:rsid w:val="00900E0D"/>
    <w:rsid w:val="00913FAF"/>
    <w:rsid w:val="009363CC"/>
    <w:rsid w:val="00952726"/>
    <w:rsid w:val="00952A89"/>
    <w:rsid w:val="00964B6C"/>
    <w:rsid w:val="00973F4A"/>
    <w:rsid w:val="0098470B"/>
    <w:rsid w:val="00A05592"/>
    <w:rsid w:val="00A56343"/>
    <w:rsid w:val="00A704CA"/>
    <w:rsid w:val="00A953CA"/>
    <w:rsid w:val="00AF2509"/>
    <w:rsid w:val="00B40502"/>
    <w:rsid w:val="00B41C42"/>
    <w:rsid w:val="00B63D04"/>
    <w:rsid w:val="00B87337"/>
    <w:rsid w:val="00BC2D09"/>
    <w:rsid w:val="00C117FC"/>
    <w:rsid w:val="00C7680C"/>
    <w:rsid w:val="00CB0200"/>
    <w:rsid w:val="00CD005E"/>
    <w:rsid w:val="00CF12DA"/>
    <w:rsid w:val="00D25DE5"/>
    <w:rsid w:val="00D553FA"/>
    <w:rsid w:val="00D96682"/>
    <w:rsid w:val="00DD086E"/>
    <w:rsid w:val="00DD6387"/>
    <w:rsid w:val="00DF7B31"/>
    <w:rsid w:val="00E54AFD"/>
    <w:rsid w:val="00E81A51"/>
    <w:rsid w:val="00EB68BF"/>
    <w:rsid w:val="00EE0428"/>
    <w:rsid w:val="00F203E1"/>
    <w:rsid w:val="00F2079E"/>
    <w:rsid w:val="00F4053B"/>
    <w:rsid w:val="00F47987"/>
    <w:rsid w:val="00F92402"/>
    <w:rsid w:val="00FA7C66"/>
    <w:rsid w:val="00FD0327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7B78"/>
  <w15:docId w15:val="{EA422008-C9D3-4ECB-8138-C393C92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9E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3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andard">
    <w:name w:val="Standard"/>
    <w:rsid w:val="00A70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27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FF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FF"/>
    <w:rPr>
      <w:rFonts w:ascii="Century Gothic" w:eastAsia="Times New Roman" w:hAnsi="Century Gothic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01416"/>
    <w:pPr>
      <w:ind w:left="720"/>
      <w:contextualSpacing/>
    </w:pPr>
  </w:style>
  <w:style w:type="paragraph" w:customStyle="1" w:styleId="Default">
    <w:name w:val="Default"/>
    <w:rsid w:val="008E09A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Level1">
    <w:name w:val="Level 1"/>
    <w:basedOn w:val="Normal"/>
    <w:next w:val="Level2"/>
    <w:rsid w:val="00B63D04"/>
    <w:pPr>
      <w:widowControl w:val="0"/>
      <w:numPr>
        <w:numId w:val="4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2">
    <w:name w:val="Level 2"/>
    <w:basedOn w:val="Normal"/>
    <w:rsid w:val="00B63D04"/>
    <w:pPr>
      <w:widowControl w:val="0"/>
      <w:numPr>
        <w:ilvl w:val="1"/>
        <w:numId w:val="4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3">
    <w:name w:val="Level 3"/>
    <w:basedOn w:val="Normal"/>
    <w:rsid w:val="00B63D04"/>
    <w:pPr>
      <w:widowControl w:val="0"/>
      <w:numPr>
        <w:ilvl w:val="2"/>
        <w:numId w:val="4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4">
    <w:name w:val="Level 4"/>
    <w:basedOn w:val="Normal"/>
    <w:rsid w:val="00B63D04"/>
    <w:pPr>
      <w:widowControl w:val="0"/>
      <w:numPr>
        <w:ilvl w:val="3"/>
        <w:numId w:val="4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5">
    <w:name w:val="Level 5"/>
    <w:basedOn w:val="Normal"/>
    <w:rsid w:val="00B63D04"/>
    <w:pPr>
      <w:widowControl w:val="0"/>
      <w:numPr>
        <w:ilvl w:val="4"/>
        <w:numId w:val="4"/>
      </w:numPr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paragraph" w:customStyle="1" w:styleId="Level6">
    <w:name w:val="Level 6"/>
    <w:basedOn w:val="Normal"/>
    <w:rsid w:val="00B63D04"/>
    <w:pPr>
      <w:widowControl w:val="0"/>
      <w:numPr>
        <w:ilvl w:val="5"/>
        <w:numId w:val="4"/>
      </w:numPr>
      <w:tabs>
        <w:tab w:val="left" w:pos="4320"/>
      </w:tabs>
      <w:adjustRightInd w:val="0"/>
      <w:spacing w:after="240" w:line="360" w:lineRule="auto"/>
      <w:jc w:val="both"/>
      <w:textAlignment w:val="baseline"/>
    </w:pPr>
    <w:rPr>
      <w:rFonts w:ascii="Univers" w:hAnsi="Univers"/>
      <w:kern w:val="28"/>
      <w:sz w:val="21"/>
      <w:szCs w:val="20"/>
    </w:rPr>
  </w:style>
  <w:style w:type="table" w:styleId="TableGrid">
    <w:name w:val="Table Grid"/>
    <w:basedOn w:val="TableNormal"/>
    <w:uiPriority w:val="59"/>
    <w:rsid w:val="0041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608cc-4df1-4775-876c-4ceff46c2ce6" xsi:nil="true"/>
    <lcf76f155ced4ddcb4097134ff3c332f xmlns="268ba956-f75e-4902-b00d-6af1be0694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0D5D12A8C745A7A141AC2792FAA0" ma:contentTypeVersion="16" ma:contentTypeDescription="Create a new document." ma:contentTypeScope="" ma:versionID="2e0598913b2ca30bae690132e3d74449">
  <xsd:schema xmlns:xsd="http://www.w3.org/2001/XMLSchema" xmlns:xs="http://www.w3.org/2001/XMLSchema" xmlns:p="http://schemas.microsoft.com/office/2006/metadata/properties" xmlns:ns2="268ba956-f75e-4902-b00d-6af1be0694b8" xmlns:ns3="645608cc-4df1-4775-876c-4ceff46c2ce6" targetNamespace="http://schemas.microsoft.com/office/2006/metadata/properties" ma:root="true" ma:fieldsID="9adc22b538d09984b775be75cbb23e2d" ns2:_="" ns3:_="">
    <xsd:import namespace="268ba956-f75e-4902-b00d-6af1be0694b8"/>
    <xsd:import namespace="645608cc-4df1-4775-876c-4ceff46c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a956-f75e-4902-b00d-6af1be069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989c2f-39f1-43da-b6f6-2c99c481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08cc-4df1-4775-876c-4ceff46c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470ed-cb8b-43b3-9d63-c1eab69566be}" ma:internalName="TaxCatchAll" ma:showField="CatchAllData" ma:web="645608cc-4df1-4775-876c-4ceff46c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775C0-0A9A-4720-8F1E-30BAA9B1D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60B6C-94CF-4722-A2D4-F3589167CF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608cc-4df1-4775-876c-4ceff46c2ce6"/>
    <ds:schemaRef ds:uri="http://purl.org/dc/terms/"/>
    <ds:schemaRef ds:uri="268ba956-f75e-4902-b00d-6af1be0694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88A940-522B-4E3F-BEE1-9459213B8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ba956-f75e-4902-b00d-6af1be0694b8"/>
    <ds:schemaRef ds:uri="645608cc-4df1-4775-876c-4ceff46c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Magee</dc:creator>
  <cp:lastModifiedBy>Cathy Magee</cp:lastModifiedBy>
  <cp:revision>2</cp:revision>
  <cp:lastPrinted>2016-10-25T13:02:00Z</cp:lastPrinted>
  <dcterms:created xsi:type="dcterms:W3CDTF">2022-11-01T12:45:00Z</dcterms:created>
  <dcterms:modified xsi:type="dcterms:W3CDTF">2022-11-01T12:45:00Z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0x010100AC420D5D12A8C745A7A141AC2792FAA0</vt:lpwstr>
  </property>
  <property fmtid="{D5CDD505-2E9C-101B-9397-08002B2CF9AE}" pid="3" name="Order">
    <vt:r8>434200</vt:r8>
  </property>
  <property fmtid="{D5CDD505-2E9C-101B-9397-08002B2CF9AE}" pid="4" name="MediaServiceImageTags">
    <vt:lpwstr/>
  </property>
</Properties>
</file>